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34F33" w14:textId="7C2C4130" w:rsidR="00C037FB" w:rsidRDefault="00C037FB" w:rsidP="008E31BE">
      <w:pPr>
        <w:pStyle w:val="Title2"/>
        <w:spacing w:after="0" w:line="240" w:lineRule="auto"/>
      </w:pPr>
    </w:p>
    <w:p w14:paraId="48CDD05D" w14:textId="4EE75032" w:rsidR="008E31BE" w:rsidRPr="008E31BE" w:rsidRDefault="008E31BE" w:rsidP="008E31BE">
      <w:pPr>
        <w:pStyle w:val="Title2"/>
        <w:spacing w:after="0" w:line="240" w:lineRule="auto"/>
        <w:jc w:val="center"/>
        <w:rPr>
          <w:b/>
          <w:bCs/>
        </w:rPr>
      </w:pPr>
      <w:r w:rsidRPr="008E31BE">
        <w:rPr>
          <w:b/>
          <w:bCs/>
        </w:rPr>
        <w:t>MEMORANDUM</w:t>
      </w:r>
    </w:p>
    <w:p w14:paraId="3500D65B" w14:textId="77777777" w:rsidR="008E31BE" w:rsidRPr="00C037FB" w:rsidRDefault="008E31BE" w:rsidP="008E31BE">
      <w:pPr>
        <w:pStyle w:val="Title2"/>
        <w:spacing w:after="0" w:line="240" w:lineRule="auto"/>
      </w:pPr>
    </w:p>
    <w:tbl>
      <w:tblPr>
        <w:tblStyle w:val="HHSMemoRouting"/>
        <w:tblW w:w="0" w:type="auto"/>
        <w:tblLook w:val="04A0" w:firstRow="1" w:lastRow="0" w:firstColumn="1" w:lastColumn="0" w:noHBand="0" w:noVBand="1"/>
      </w:tblPr>
      <w:tblGrid>
        <w:gridCol w:w="1525"/>
        <w:gridCol w:w="8545"/>
      </w:tblGrid>
      <w:tr w:rsidR="009F48EE" w14:paraId="54528879" w14:textId="77777777" w:rsidTr="008E31BE">
        <w:trPr>
          <w:trHeight w:val="193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6C3212B8" w14:textId="7BA71190" w:rsidR="009F48EE" w:rsidRPr="00AC7B0C" w:rsidRDefault="00CF0C84" w:rsidP="008E31BE">
            <w:pPr>
              <w:pStyle w:val="CAPS"/>
            </w:pPr>
            <w:r>
              <w:t>To: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18002909" w14:textId="77777777" w:rsidR="00FF6343" w:rsidRDefault="00FF6343" w:rsidP="008E6743">
            <w:pPr>
              <w:pStyle w:val="PText"/>
            </w:pPr>
            <w:r w:rsidRPr="00FF6343">
              <w:t>Managed Care Program Oversigh</w:t>
            </w:r>
            <w:r>
              <w:t>t</w:t>
            </w:r>
          </w:p>
          <w:p w14:paraId="03BE7295" w14:textId="77777777" w:rsidR="00FF6343" w:rsidRDefault="00FF6343" w:rsidP="008E6743">
            <w:pPr>
              <w:pStyle w:val="PText"/>
            </w:pPr>
            <w:r w:rsidRPr="00FF6343">
              <w:t>Enrollment Resolution Services</w:t>
            </w:r>
          </w:p>
          <w:p w14:paraId="6495AC34" w14:textId="77777777" w:rsidR="00FF6343" w:rsidRDefault="00FF6343" w:rsidP="008E6743">
            <w:pPr>
              <w:pStyle w:val="PText"/>
            </w:pPr>
            <w:r w:rsidRPr="00FF6343">
              <w:t>Program Support and Utilization Review</w:t>
            </w:r>
          </w:p>
          <w:p w14:paraId="580509B7" w14:textId="447C0341" w:rsidR="00574B75" w:rsidRPr="00574B75" w:rsidRDefault="00FF6343" w:rsidP="008E6743">
            <w:pPr>
              <w:pStyle w:val="PText"/>
            </w:pPr>
            <w:r w:rsidRPr="00FF6343">
              <w:t>Managed Care Organizations</w:t>
            </w:r>
          </w:p>
        </w:tc>
      </w:tr>
      <w:tr w:rsidR="009F48EE" w14:paraId="27E41C93" w14:textId="77777777" w:rsidTr="008E31BE">
        <w:trPr>
          <w:trHeight w:val="184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D4A5F5F" w14:textId="77777777" w:rsidR="009F48EE" w:rsidRPr="00AC7B0C" w:rsidRDefault="009F48EE" w:rsidP="008E31BE">
            <w:pPr>
              <w:pStyle w:val="CAPS"/>
            </w:pPr>
            <w:r w:rsidRPr="00AC7B0C">
              <w:t>from: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42B4522B" w14:textId="77777777" w:rsidR="00FF6343" w:rsidRDefault="00FF6343" w:rsidP="008E6743">
            <w:pPr>
              <w:pStyle w:val="PText"/>
            </w:pPr>
            <w:r>
              <w:t>Office of Policy</w:t>
            </w:r>
          </w:p>
          <w:p w14:paraId="2939C26A" w14:textId="0115F713" w:rsidR="00574B75" w:rsidRPr="00574B75" w:rsidRDefault="00FF6343" w:rsidP="008E6743">
            <w:pPr>
              <w:pStyle w:val="PText"/>
            </w:pPr>
            <w:r>
              <w:t>Medicaid and CHIP Services</w:t>
            </w:r>
          </w:p>
        </w:tc>
      </w:tr>
      <w:tr w:rsidR="009F48EE" w14:paraId="70E70DA9" w14:textId="77777777" w:rsidTr="008E31BE">
        <w:trPr>
          <w:trHeight w:val="277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528F27D" w14:textId="77777777" w:rsidR="009F48EE" w:rsidRPr="00AC7B0C" w:rsidRDefault="009F48EE" w:rsidP="008E31BE">
            <w:pPr>
              <w:pStyle w:val="CAPS"/>
            </w:pPr>
            <w:r w:rsidRPr="00AC7B0C">
              <w:t>subject: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3EEBA35D" w14:textId="587BC97D" w:rsidR="009F48EE" w:rsidRPr="008E6743" w:rsidRDefault="008E6743" w:rsidP="008E6743">
            <w:pPr>
              <w:pStyle w:val="PText"/>
              <w:rPr>
                <w:caps/>
              </w:rPr>
            </w:pPr>
            <w:r w:rsidRPr="008E6743">
              <w:t xml:space="preserve">STAR+PLUS Long-Term Services and Supports (LTSS) </w:t>
            </w:r>
            <w:r w:rsidR="00511469">
              <w:t xml:space="preserve">Billing Matrix </w:t>
            </w:r>
            <w:r w:rsidRPr="008E6743">
              <w:t>Effective December 1, 2022</w:t>
            </w:r>
          </w:p>
        </w:tc>
      </w:tr>
    </w:tbl>
    <w:p w14:paraId="6B03F54B" w14:textId="0339DDA5" w:rsidR="009F48EE" w:rsidRDefault="009F48EE" w:rsidP="008E31BE">
      <w:pPr>
        <w:spacing w:after="0" w:line="240" w:lineRule="auto"/>
      </w:pPr>
    </w:p>
    <w:tbl>
      <w:tblPr>
        <w:tblStyle w:val="HHSMemoRout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912"/>
        <w:gridCol w:w="1038"/>
        <w:gridCol w:w="2875"/>
      </w:tblGrid>
      <w:tr w:rsidR="008E31BE" w14:paraId="53165BF3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7B4CCFB" w14:textId="77777777" w:rsidR="008E31BE" w:rsidRPr="00AC7B0C" w:rsidRDefault="008E31BE" w:rsidP="008E31BE">
            <w:pPr>
              <w:pStyle w:val="CAPS"/>
            </w:pPr>
            <w:r>
              <w:t>issuance date: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D7B05BA" w14:textId="59F8C1AE" w:rsidR="008E31BE" w:rsidRDefault="008E6743" w:rsidP="008E6743">
            <w:pPr>
              <w:pStyle w:val="PText"/>
              <w:rPr>
                <w:caps/>
              </w:rPr>
            </w:pPr>
            <w:r>
              <w:t>06/01</w:t>
            </w:r>
            <w:r w:rsidR="008E31BE">
              <w:t>/2022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7B0D8AE" w14:textId="77777777" w:rsidR="008E31BE" w:rsidRDefault="008E31BE" w:rsidP="008E6743">
            <w:pPr>
              <w:pStyle w:val="PText"/>
            </w:pPr>
            <w:r>
              <w:t>HHSC: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E28822A" w14:textId="6E43A37C" w:rsidR="008E31BE" w:rsidRDefault="008E31BE" w:rsidP="008E6743">
            <w:pPr>
              <w:pStyle w:val="PText"/>
            </w:pPr>
            <w:r>
              <w:t>22-0</w:t>
            </w:r>
            <w:r w:rsidR="008E6743">
              <w:t>6</w:t>
            </w:r>
            <w:r>
              <w:t>-001</w:t>
            </w:r>
          </w:p>
        </w:tc>
      </w:tr>
      <w:tr w:rsidR="008E31BE" w14:paraId="7F1F5EDB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75F10C8" w14:textId="50B09714" w:rsidR="008E31BE" w:rsidRDefault="008E31BE" w:rsidP="008E31BE">
            <w:pPr>
              <w:pStyle w:val="CAPS"/>
            </w:pPr>
            <w:r>
              <w:t>effective date: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3AEA3" w14:textId="5BADC979" w:rsidR="008E31BE" w:rsidRDefault="008E6743" w:rsidP="008E6743">
            <w:pPr>
              <w:pStyle w:val="PText"/>
            </w:pPr>
            <w:r>
              <w:t>12</w:t>
            </w:r>
            <w:r w:rsidR="008E31BE">
              <w:t>/</w:t>
            </w:r>
            <w:r>
              <w:t>01</w:t>
            </w:r>
            <w:r w:rsidR="008E31BE">
              <w:t>/2022</w:t>
            </w:r>
          </w:p>
        </w:tc>
      </w:tr>
    </w:tbl>
    <w:p w14:paraId="5DF8AA94" w14:textId="77777777" w:rsidR="008E31BE" w:rsidRPr="00685315" w:rsidRDefault="008E31BE" w:rsidP="008E31BE">
      <w:pPr>
        <w:spacing w:after="0" w:line="240" w:lineRule="auto"/>
      </w:pPr>
    </w:p>
    <w:p w14:paraId="67225967" w14:textId="23C40F08" w:rsidR="008E6743" w:rsidRPr="006F78DB" w:rsidRDefault="008E6743" w:rsidP="008E6743">
      <w:pPr>
        <w:pStyle w:val="BodyText"/>
        <w:rPr>
          <w:rFonts w:ascii="Verdana" w:hAnsi="Verdana"/>
          <w:b/>
          <w:u w:val="single"/>
        </w:rPr>
      </w:pPr>
      <w:r w:rsidRPr="00B1493A">
        <w:rPr>
          <w:rFonts w:ascii="Verdana" w:hAnsi="Verdana"/>
          <w:b/>
        </w:rPr>
        <w:t xml:space="preserve">Title: </w:t>
      </w:r>
      <w:r>
        <w:rPr>
          <w:rFonts w:ascii="Verdana" w:hAnsi="Verdana"/>
          <w:b/>
        </w:rPr>
        <w:t>STAR+PLUS Long-Term Services and Supports (LTSS) Billing Matri</w:t>
      </w:r>
      <w:r w:rsidR="00511469">
        <w:rPr>
          <w:rFonts w:ascii="Verdana" w:hAnsi="Verdana"/>
          <w:b/>
        </w:rPr>
        <w:t>x</w:t>
      </w:r>
      <w:r>
        <w:rPr>
          <w:rFonts w:ascii="Verdana" w:hAnsi="Verdana"/>
          <w:b/>
        </w:rPr>
        <w:t xml:space="preserve"> Effective December 1, 2022</w:t>
      </w:r>
    </w:p>
    <w:p w14:paraId="2BCCA946" w14:textId="77777777" w:rsidR="008E6743" w:rsidRDefault="008E6743" w:rsidP="008E6743">
      <w:pPr>
        <w:pStyle w:val="BodyText"/>
        <w:rPr>
          <w:rFonts w:ascii="Verdana" w:hAnsi="Verdana"/>
        </w:rPr>
      </w:pPr>
      <w:r w:rsidRPr="00B1493A">
        <w:rPr>
          <w:rFonts w:ascii="Verdana" w:hAnsi="Verdana"/>
          <w:b/>
        </w:rPr>
        <w:t>Background:</w:t>
      </w:r>
      <w:r w:rsidRPr="00B1493A">
        <w:rPr>
          <w:rFonts w:ascii="Verdana" w:hAnsi="Verdana"/>
        </w:rPr>
        <w:t xml:space="preserve"> </w:t>
      </w:r>
    </w:p>
    <w:p w14:paraId="6586A8A3" w14:textId="6CF25729" w:rsidR="008E6743" w:rsidRDefault="008E6743" w:rsidP="008E6743">
      <w:pPr>
        <w:pStyle w:val="BodyText"/>
      </w:pPr>
      <w:r w:rsidRPr="008145D7">
        <w:t>In 2019,</w:t>
      </w:r>
      <w:r>
        <w:t xml:space="preserve"> CMS directed</w:t>
      </w:r>
      <w:r w:rsidRPr="008145D7">
        <w:t xml:space="preserve"> HHSC to update the long-term services and supports (LTSS) billing to comply with the National Correct Coding Initiative (NCCI) by changing community-based LTSS billing in STAR+PLUS from one hour to 15-minute billing units. </w:t>
      </w:r>
      <w:r>
        <w:t xml:space="preserve">This change required revisions to be made to the </w:t>
      </w:r>
      <w:r w:rsidR="00511469">
        <w:t>STAR+PLUS LTSS</w:t>
      </w:r>
      <w:r>
        <w:t xml:space="preserve"> </w:t>
      </w:r>
      <w:r w:rsidR="00511469">
        <w:t>Codes and Modifiers</w:t>
      </w:r>
      <w:r>
        <w:t xml:space="preserve">. </w:t>
      </w:r>
    </w:p>
    <w:p w14:paraId="7A00569E" w14:textId="2B73E2B1" w:rsidR="008E6743" w:rsidRDefault="008E6743" w:rsidP="008E6743">
      <w:pPr>
        <w:pStyle w:val="BodyText"/>
      </w:pPr>
      <w:r>
        <w:rPr>
          <w:rFonts w:ascii="Verdana" w:hAnsi="Verdana"/>
        </w:rPr>
        <w:t xml:space="preserve">HHSC shared draft revisions of the STAR+PLUS </w:t>
      </w:r>
      <w:r w:rsidR="00511469">
        <w:rPr>
          <w:rFonts w:ascii="Verdana" w:hAnsi="Verdana"/>
        </w:rPr>
        <w:t>LTSS</w:t>
      </w:r>
      <w:r w:rsidRPr="0029214D">
        <w:rPr>
          <w:rFonts w:ascii="Verdana" w:hAnsi="Verdana"/>
        </w:rPr>
        <w:t xml:space="preserve"> Codes and Modifiers</w:t>
      </w:r>
      <w:r>
        <w:rPr>
          <w:rFonts w:ascii="Verdana" w:hAnsi="Verdana"/>
        </w:rPr>
        <w:t xml:space="preserve"> with the managed care organizations (MCOs) in October 2021, March 2022, and discussed final changes in the May 18, 2022 meeting.</w:t>
      </w:r>
    </w:p>
    <w:p w14:paraId="7A07F0B1" w14:textId="33F3A9CD" w:rsidR="008E6743" w:rsidRDefault="008E6743" w:rsidP="008E6743">
      <w:pPr>
        <w:pStyle w:val="PText"/>
      </w:pPr>
      <w:r w:rsidRPr="00E7375D">
        <w:t xml:space="preserve">HHSC </w:t>
      </w:r>
      <w:r>
        <w:t>delayed</w:t>
      </w:r>
      <w:r w:rsidRPr="00E7375D">
        <w:t xml:space="preserve"> the implementation </w:t>
      </w:r>
      <w:r>
        <w:t xml:space="preserve">date for the revised LTSS </w:t>
      </w:r>
      <w:r w:rsidR="00511469">
        <w:t>Codes and Modifiers</w:t>
      </w:r>
      <w:r>
        <w:t xml:space="preserve"> </w:t>
      </w:r>
      <w:r w:rsidRPr="00E7375D">
        <w:t xml:space="preserve">to </w:t>
      </w:r>
      <w:r>
        <w:t xml:space="preserve">December 1, </w:t>
      </w:r>
      <w:r w:rsidRPr="00E7375D">
        <w:t xml:space="preserve">2022. This new implementation date was coordinated with the </w:t>
      </w:r>
      <w:r>
        <w:t>HHSC Electronic Visit Verification (</w:t>
      </w:r>
      <w:r w:rsidRPr="00E7375D">
        <w:t>EVV</w:t>
      </w:r>
      <w:r>
        <w:t>)</w:t>
      </w:r>
      <w:r w:rsidRPr="00E7375D">
        <w:t xml:space="preserve"> team and ensures MCOs</w:t>
      </w:r>
      <w:r>
        <w:t xml:space="preserve"> and Medicare-Medicaid Plans (MMPs)</w:t>
      </w:r>
      <w:r w:rsidRPr="00E7375D">
        <w:t xml:space="preserve"> adequate lead time to make appropriate system changes. </w:t>
      </w:r>
    </w:p>
    <w:p w14:paraId="1DA9BBE6" w14:textId="77777777" w:rsidR="008E6743" w:rsidRDefault="008E6743" w:rsidP="008E6743">
      <w:pPr>
        <w:pStyle w:val="PText"/>
      </w:pPr>
    </w:p>
    <w:p w14:paraId="139A3B4D" w14:textId="77777777" w:rsidR="008E6743" w:rsidRPr="008E6743" w:rsidRDefault="008E6743" w:rsidP="008E6743">
      <w:pPr>
        <w:pStyle w:val="PText"/>
        <w:rPr>
          <w:rFonts w:asciiTheme="majorHAnsi" w:hAnsiTheme="majorHAnsi"/>
          <w:b/>
          <w:bCs w:val="0"/>
          <w:u w:val="single"/>
        </w:rPr>
      </w:pPr>
      <w:r w:rsidRPr="008E6743">
        <w:rPr>
          <w:b/>
          <w:bCs w:val="0"/>
        </w:rPr>
        <w:t xml:space="preserve">Summary of Request or Key Details: </w:t>
      </w:r>
    </w:p>
    <w:p w14:paraId="1EE1BD29" w14:textId="1E47491F" w:rsidR="008E6743" w:rsidRDefault="008E6743" w:rsidP="008E6743">
      <w:pPr>
        <w:pStyle w:val="BodyText"/>
      </w:pPr>
      <w:r>
        <w:t xml:space="preserve">HHSC comprehensively updated the </w:t>
      </w:r>
      <w:r w:rsidR="00704AF4">
        <w:t xml:space="preserve">STAR+PLUS </w:t>
      </w:r>
      <w:r>
        <w:t xml:space="preserve">LTSS </w:t>
      </w:r>
      <w:r w:rsidR="00511469">
        <w:t>Codes and Modifiers</w:t>
      </w:r>
      <w:r>
        <w:t xml:space="preserve"> and incorporated NCCI-related revisions to be effective December 1, 2022. The updated matri</w:t>
      </w:r>
      <w:r w:rsidR="00511469">
        <w:t>x</w:t>
      </w:r>
      <w:r>
        <w:t xml:space="preserve"> will be posted in the STAR+PLUS Handbook Policy Updates until December 1, 2022, at which time </w:t>
      </w:r>
      <w:r w:rsidR="00511469">
        <w:t>it</w:t>
      </w:r>
      <w:r>
        <w:t xml:space="preserve"> will officially replace the LTSS </w:t>
      </w:r>
      <w:r w:rsidR="00511469">
        <w:t>Codes and Modifiers</w:t>
      </w:r>
      <w:r>
        <w:t xml:space="preserve"> appendi</w:t>
      </w:r>
      <w:r w:rsidR="00511469">
        <w:t>x</w:t>
      </w:r>
      <w:r>
        <w:t xml:space="preserve">. </w:t>
      </w:r>
    </w:p>
    <w:p w14:paraId="55228C9C" w14:textId="77777777" w:rsidR="008E6743" w:rsidRDefault="008E6743" w:rsidP="008E6743">
      <w:pPr>
        <w:pStyle w:val="BodyText"/>
        <w:rPr>
          <w:rFonts w:ascii="Verdana" w:hAnsi="Verdana"/>
        </w:rPr>
      </w:pPr>
      <w:r>
        <w:rPr>
          <w:rFonts w:ascii="Verdana" w:hAnsi="Verdana"/>
        </w:rPr>
        <w:t xml:space="preserve">For services that will be provided on or after December 1, 2022, MCOs must ensure necessary system changes are made to allow issuing updated service prior authorizations </w:t>
      </w:r>
      <w:r>
        <w:rPr>
          <w:rFonts w:ascii="Verdana" w:hAnsi="Verdana"/>
        </w:rPr>
        <w:lastRenderedPageBreak/>
        <w:t xml:space="preserve">with new code and modifier combinations no later than October 17, 2022. After this date, </w:t>
      </w:r>
      <w:r>
        <w:t xml:space="preserve">prior authorizations for services to be rendered on or after December 1, 2022, using old codes will not be accepted. MCO system changes must be completed in time to </w:t>
      </w:r>
      <w:r>
        <w:rPr>
          <w:rFonts w:ascii="Verdana" w:hAnsi="Verdana"/>
        </w:rPr>
        <w:t>process claims with new code and modifier combinations with dates of service on or after December 1, 2022.</w:t>
      </w:r>
    </w:p>
    <w:p w14:paraId="297917C9" w14:textId="77777777" w:rsidR="008E6743" w:rsidRPr="00E4553D" w:rsidRDefault="008E6743" w:rsidP="008E6743">
      <w:pPr>
        <w:pStyle w:val="BodyText"/>
      </w:pPr>
    </w:p>
    <w:p w14:paraId="25924F11" w14:textId="3F189D1E" w:rsidR="008E6743" w:rsidRDefault="008E6743" w:rsidP="008E6743">
      <w:pPr>
        <w:pStyle w:val="PText"/>
      </w:pPr>
      <w:r>
        <w:t>Action(s):</w:t>
      </w:r>
      <w:r w:rsidRPr="00291661">
        <w:t xml:space="preserve"> </w:t>
      </w:r>
    </w:p>
    <w:p w14:paraId="78EFF8DE" w14:textId="35AADAD9" w:rsidR="008E6743" w:rsidRPr="00D83A8D" w:rsidRDefault="008E6743" w:rsidP="008E674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A791C">
        <w:rPr>
          <w:rFonts w:ascii="Verdana" w:hAnsi="Verdana"/>
        </w:rPr>
        <w:t xml:space="preserve">For prior authorizations and claims regarding services provided prior to December 1, 2022, MCOs and MMPs must use the code and modifier combinations without the NCCI-related edits </w:t>
      </w:r>
      <w:r>
        <w:rPr>
          <w:rFonts w:ascii="Verdana" w:hAnsi="Verdana"/>
        </w:rPr>
        <w:t>(</w:t>
      </w:r>
      <w:r w:rsidRPr="007A791C">
        <w:rPr>
          <w:rFonts w:ascii="Verdana" w:hAnsi="Verdana"/>
        </w:rPr>
        <w:t>published April 2022</w:t>
      </w:r>
      <w:r>
        <w:rPr>
          <w:rFonts w:ascii="Verdana" w:hAnsi="Verdana"/>
        </w:rPr>
        <w:t>)</w:t>
      </w:r>
      <w:r w:rsidRPr="007A791C">
        <w:rPr>
          <w:rFonts w:ascii="Verdana" w:hAnsi="Verdana"/>
        </w:rPr>
        <w:t xml:space="preserve"> in the STAR+PLUS Handbook, </w:t>
      </w:r>
      <w:hyperlink r:id="rId8" w:history="1">
        <w:r w:rsidRPr="007A791C">
          <w:rPr>
            <w:rStyle w:val="Hyperlink"/>
            <w:rFonts w:ascii="Verdana" w:hAnsi="Verdana"/>
          </w:rPr>
          <w:t>Appendix XVI, Long Term Services and Supports Codes and Modifiers</w:t>
        </w:r>
      </w:hyperlink>
      <w:r w:rsidRPr="007A791C">
        <w:rPr>
          <w:rFonts w:ascii="Verdana" w:hAnsi="Verdana"/>
        </w:rPr>
        <w:t xml:space="preserve">. </w:t>
      </w:r>
    </w:p>
    <w:p w14:paraId="292B579C" w14:textId="3CA774B5" w:rsidR="008E6743" w:rsidRDefault="008E6743" w:rsidP="008E674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t xml:space="preserve">If </w:t>
      </w:r>
      <w:r w:rsidRPr="00E4553D">
        <w:t xml:space="preserve">MCOs </w:t>
      </w:r>
      <w:r>
        <w:t xml:space="preserve">or </w:t>
      </w:r>
      <w:r w:rsidRPr="00E4553D">
        <w:t xml:space="preserve">MMPs </w:t>
      </w:r>
      <w:r>
        <w:t xml:space="preserve">issued prior authorizations based on the March 2022 </w:t>
      </w:r>
      <w:r w:rsidR="003F28AB">
        <w:t xml:space="preserve">STAR+PLUS </w:t>
      </w:r>
      <w:r w:rsidR="00AB2E34">
        <w:t xml:space="preserve">LTSS </w:t>
      </w:r>
      <w:r w:rsidR="00595B82" w:rsidRPr="0029214D">
        <w:rPr>
          <w:rFonts w:ascii="Verdana" w:hAnsi="Verdana"/>
        </w:rPr>
        <w:t>Codes and Modifiers</w:t>
      </w:r>
      <w:r>
        <w:t xml:space="preserve"> </w:t>
      </w:r>
      <w:r w:rsidRPr="00E4553D">
        <w:t>containing modifiers and codes with an effective date of July 1, 2022</w:t>
      </w:r>
      <w:r>
        <w:t>,</w:t>
      </w:r>
      <w:r w:rsidRPr="00E4553D">
        <w:t xml:space="preserve"> or later, </w:t>
      </w:r>
      <w:r>
        <w:t xml:space="preserve">they must reissue those prior authorizations </w:t>
      </w:r>
      <w:r w:rsidRPr="00E4553D">
        <w:t xml:space="preserve">with modifiers and codes from the </w:t>
      </w:r>
      <w:hyperlink r:id="rId9" w:history="1">
        <w:r w:rsidRPr="00420D7C">
          <w:rPr>
            <w:rStyle w:val="Hyperlink"/>
            <w:rFonts w:ascii="Verdana" w:hAnsi="Verdana"/>
          </w:rPr>
          <w:t>Appendix XVI, Long Term Services and Supports Codes and Modifiers</w:t>
        </w:r>
      </w:hyperlink>
      <w:r w:rsidRPr="00420D7C">
        <w:rPr>
          <w:rFonts w:ascii="Verdana" w:hAnsi="Verdana"/>
        </w:rPr>
        <w:t xml:space="preserve"> </w:t>
      </w:r>
      <w:r w:rsidRPr="00E4553D">
        <w:t xml:space="preserve">published April 2022. </w:t>
      </w:r>
    </w:p>
    <w:p w14:paraId="7ECCB1FE" w14:textId="77777777" w:rsidR="008E6743" w:rsidRPr="00D83A8D" w:rsidRDefault="008E6743" w:rsidP="008E674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D83A8D">
        <w:rPr>
          <w:rFonts w:ascii="Verdana" w:hAnsi="Verdana"/>
        </w:rPr>
        <w:t>MCO</w:t>
      </w:r>
      <w:r>
        <w:rPr>
          <w:rFonts w:ascii="Verdana" w:hAnsi="Verdana"/>
        </w:rPr>
        <w:t>s and MMPs</w:t>
      </w:r>
      <w:r w:rsidRPr="00D83A8D">
        <w:rPr>
          <w:rFonts w:ascii="Verdana" w:hAnsi="Verdana"/>
        </w:rPr>
        <w:t xml:space="preserve"> must </w:t>
      </w:r>
      <w:r>
        <w:rPr>
          <w:rFonts w:ascii="Verdana" w:hAnsi="Verdana"/>
        </w:rPr>
        <w:t xml:space="preserve">make the necessary system changes to comply with the October 17, 2022, prior authorization deadline and the December 1, 2022, claims deadline described in the “Summary” section of this notice. </w:t>
      </w:r>
    </w:p>
    <w:p w14:paraId="0DD55191" w14:textId="77777777" w:rsidR="008E6743" w:rsidRDefault="008E6743" w:rsidP="008E6743">
      <w:pPr>
        <w:pStyle w:val="PText"/>
        <w:rPr>
          <w:lang w:val="en"/>
        </w:rPr>
      </w:pPr>
      <w:r>
        <w:rPr>
          <w:lang w:val="en"/>
        </w:rPr>
        <w:t xml:space="preserve">Resources (if any): </w:t>
      </w:r>
    </w:p>
    <w:p w14:paraId="4BA6D78E" w14:textId="77777777" w:rsidR="008E6743" w:rsidRDefault="008E6743" w:rsidP="008E6743">
      <w:pPr>
        <w:pStyle w:val="PText"/>
      </w:pPr>
      <w:r>
        <w:t xml:space="preserve">STAR+PLUS Handbook Policy Updates: </w:t>
      </w:r>
      <w:hyperlink r:id="rId10" w:history="1">
        <w:r w:rsidRPr="00731A20">
          <w:rPr>
            <w:rStyle w:val="Hyperlink"/>
          </w:rPr>
          <w:t>https://www.hhs.texas.gov/handbooks/starplus-handbook/hhsc-policy-updates</w:t>
        </w:r>
      </w:hyperlink>
    </w:p>
    <w:p w14:paraId="5F15B39D" w14:textId="77777777" w:rsidR="008E6743" w:rsidRDefault="008E6743" w:rsidP="008E6743">
      <w:pPr>
        <w:pStyle w:val="PText"/>
      </w:pPr>
    </w:p>
    <w:p w14:paraId="027BF1A2" w14:textId="77777777" w:rsidR="008E6743" w:rsidRPr="00471C2F" w:rsidRDefault="008E6743" w:rsidP="008E6743">
      <w:pPr>
        <w:pStyle w:val="BodyText"/>
        <w:rPr>
          <w:rFonts w:ascii="Verdana" w:hAnsi="Verdana"/>
        </w:rPr>
      </w:pPr>
      <w:r w:rsidRPr="00A26A03">
        <w:rPr>
          <w:rFonts w:ascii="Verdana" w:hAnsi="Verdana"/>
          <w:b/>
          <w:bCs/>
        </w:rPr>
        <w:t>Contact:</w:t>
      </w:r>
      <w:r w:rsidRPr="00A26A03">
        <w:rPr>
          <w:rFonts w:ascii="Verdana" w:hAnsi="Verdana"/>
        </w:rPr>
        <w:t xml:space="preserve"> </w:t>
      </w:r>
      <w:hyperlink r:id="rId11" w:history="1">
        <w:r w:rsidRPr="00345D6D">
          <w:rPr>
            <w:rStyle w:val="Hyperlink"/>
            <w:rFonts w:ascii="Verdana" w:hAnsi="Verdana"/>
          </w:rPr>
          <w:t>Managed_Care_Initiatives@hhs.texas.gov</w:t>
        </w:r>
      </w:hyperlink>
      <w:r>
        <w:rPr>
          <w:rFonts w:ascii="Verdana" w:hAnsi="Verdana"/>
        </w:rPr>
        <w:t xml:space="preserve"> </w:t>
      </w:r>
    </w:p>
    <w:p w14:paraId="3BC07E55" w14:textId="6279014A" w:rsidR="00093E13" w:rsidRPr="00B92B63" w:rsidRDefault="00093E13" w:rsidP="008E6743">
      <w:pPr>
        <w:spacing w:after="0" w:line="240" w:lineRule="auto"/>
        <w:rPr>
          <w:rFonts w:ascii="Verdana" w:hAnsi="Verdana"/>
        </w:rPr>
      </w:pPr>
    </w:p>
    <w:sectPr w:rsidR="00093E13" w:rsidRPr="00B92B63" w:rsidSect="001C333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57" w:right="1080" w:bottom="1080" w:left="1080" w:header="6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EF729" w14:textId="77777777" w:rsidR="00735DB5" w:rsidRDefault="00735DB5" w:rsidP="00B07D5B">
      <w:pPr>
        <w:spacing w:after="0" w:line="240" w:lineRule="auto"/>
      </w:pPr>
      <w:r>
        <w:separator/>
      </w:r>
    </w:p>
  </w:endnote>
  <w:endnote w:type="continuationSeparator" w:id="0">
    <w:p w14:paraId="50567750" w14:textId="77777777" w:rsidR="00735DB5" w:rsidRDefault="00735DB5" w:rsidP="00B0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951AB" w14:textId="77777777" w:rsidR="00C176FB" w:rsidRDefault="00C176FB" w:rsidP="00C176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F1EE83B" w14:textId="77777777" w:rsidR="00E10B21" w:rsidRPr="00C176FB" w:rsidRDefault="008244BC" w:rsidP="00FB53E2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24CF" w14:textId="77777777" w:rsidR="00E10B21" w:rsidRDefault="00E10B21" w:rsidP="00D75F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E92E028" w14:textId="77777777" w:rsidR="00E10B21" w:rsidRPr="00DA1477" w:rsidRDefault="008244BC" w:rsidP="00D75FFB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74704" w14:textId="77777777" w:rsidR="00735DB5" w:rsidRDefault="00735DB5" w:rsidP="00B07D5B">
      <w:pPr>
        <w:spacing w:after="0" w:line="240" w:lineRule="auto"/>
      </w:pPr>
      <w:r>
        <w:separator/>
      </w:r>
    </w:p>
  </w:footnote>
  <w:footnote w:type="continuationSeparator" w:id="0">
    <w:p w14:paraId="7377F75F" w14:textId="77777777" w:rsidR="00735DB5" w:rsidRDefault="00735DB5" w:rsidP="00B0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1A63" w14:textId="77777777" w:rsidR="00E10B21" w:rsidRDefault="00E10B21" w:rsidP="00D8332D">
    <w:pPr>
      <w:pStyle w:val="Header"/>
    </w:pPr>
    <w:r w:rsidRPr="00DC2C76">
      <w:t xml:space="preserve">Action </w:t>
    </w:r>
    <w:r>
      <w:t>Memorandum for the Executive Commissioner</w:t>
    </w:r>
  </w:p>
  <w:p w14:paraId="4CB45880" w14:textId="77777777" w:rsidR="00E10B21" w:rsidRDefault="00E10B21" w:rsidP="00D8332D">
    <w:pPr>
      <w:pStyle w:val="Header"/>
    </w:pPr>
    <w:r>
      <w:t xml:space="preserve">Page </w:t>
    </w:r>
    <w:r w:rsidRPr="00DC2C76">
      <w:fldChar w:fldCharType="begin"/>
    </w:r>
    <w:r w:rsidRPr="00DC2C76">
      <w:instrText xml:space="preserve"> PAGE   \* MERGEFORMAT </w:instrText>
    </w:r>
    <w:r w:rsidRPr="00DC2C76">
      <w:fldChar w:fldCharType="separate"/>
    </w:r>
    <w:r w:rsidR="009F0A10">
      <w:t>3</w:t>
    </w:r>
    <w:r w:rsidRPr="00DC2C76">
      <w:fldChar w:fldCharType="end"/>
    </w:r>
  </w:p>
  <w:p w14:paraId="3DB404E9" w14:textId="77777777" w:rsidR="00E10B21" w:rsidRDefault="00E10B21" w:rsidP="00D8332D">
    <w:pPr>
      <w:pStyle w:val="Header"/>
    </w:pPr>
  </w:p>
  <w:p w14:paraId="3E2D3364" w14:textId="77777777" w:rsidR="00E10B21" w:rsidRPr="00AC7B0C" w:rsidRDefault="00E10B21" w:rsidP="00D83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8A2A" w14:textId="77777777" w:rsidR="00E10B21" w:rsidRDefault="0094431A" w:rsidP="00D8332D">
    <w:pPr>
      <w:pStyle w:val="Header"/>
    </w:pPr>
    <w:r>
      <w:drawing>
        <wp:anchor distT="0" distB="0" distL="114300" distR="114300" simplePos="0" relativeHeight="251659264" behindDoc="0" locked="0" layoutInCell="1" allowOverlap="1" wp14:anchorId="070AD7B4" wp14:editId="4601BEE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372" cy="1580179"/>
          <wp:effectExtent l="0" t="0" r="1270" b="127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72" cy="1580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71015"/>
    <w:multiLevelType w:val="hybridMultilevel"/>
    <w:tmpl w:val="BA4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8"/>
    <w:rsid w:val="00000ADA"/>
    <w:rsid w:val="00006217"/>
    <w:rsid w:val="00025EE1"/>
    <w:rsid w:val="00045550"/>
    <w:rsid w:val="00053CBF"/>
    <w:rsid w:val="0006738A"/>
    <w:rsid w:val="00075E2E"/>
    <w:rsid w:val="00092E8E"/>
    <w:rsid w:val="00092F0B"/>
    <w:rsid w:val="00093E13"/>
    <w:rsid w:val="000A05C2"/>
    <w:rsid w:val="000A7562"/>
    <w:rsid w:val="000B35A6"/>
    <w:rsid w:val="000D66DB"/>
    <w:rsid w:val="000E659E"/>
    <w:rsid w:val="001123ED"/>
    <w:rsid w:val="00124C3E"/>
    <w:rsid w:val="00135BC3"/>
    <w:rsid w:val="00141E53"/>
    <w:rsid w:val="001462C5"/>
    <w:rsid w:val="0015362F"/>
    <w:rsid w:val="00163272"/>
    <w:rsid w:val="0016402F"/>
    <w:rsid w:val="00171D0E"/>
    <w:rsid w:val="00196845"/>
    <w:rsid w:val="001A1E91"/>
    <w:rsid w:val="001A2308"/>
    <w:rsid w:val="001A6CFF"/>
    <w:rsid w:val="001A70E4"/>
    <w:rsid w:val="001C3332"/>
    <w:rsid w:val="001C55B5"/>
    <w:rsid w:val="001D12C2"/>
    <w:rsid w:val="001D4047"/>
    <w:rsid w:val="001D4D44"/>
    <w:rsid w:val="00207F3E"/>
    <w:rsid w:val="0021591D"/>
    <w:rsid w:val="00222622"/>
    <w:rsid w:val="00235A1F"/>
    <w:rsid w:val="00244D27"/>
    <w:rsid w:val="00251342"/>
    <w:rsid w:val="00256328"/>
    <w:rsid w:val="00296522"/>
    <w:rsid w:val="002A4901"/>
    <w:rsid w:val="002A4D26"/>
    <w:rsid w:val="002B72D2"/>
    <w:rsid w:val="002D0A69"/>
    <w:rsid w:val="002D120C"/>
    <w:rsid w:val="002E2900"/>
    <w:rsid w:val="002E58D3"/>
    <w:rsid w:val="002F56C4"/>
    <w:rsid w:val="0030583B"/>
    <w:rsid w:val="003067D8"/>
    <w:rsid w:val="003128D0"/>
    <w:rsid w:val="00344D6D"/>
    <w:rsid w:val="00355E3B"/>
    <w:rsid w:val="00360623"/>
    <w:rsid w:val="003907EE"/>
    <w:rsid w:val="00392822"/>
    <w:rsid w:val="00393EBC"/>
    <w:rsid w:val="00397A8D"/>
    <w:rsid w:val="003F28AB"/>
    <w:rsid w:val="003F490F"/>
    <w:rsid w:val="003F5D3E"/>
    <w:rsid w:val="00423D5E"/>
    <w:rsid w:val="00427245"/>
    <w:rsid w:val="00433BC9"/>
    <w:rsid w:val="00491A55"/>
    <w:rsid w:val="004A1EC8"/>
    <w:rsid w:val="004A7E77"/>
    <w:rsid w:val="004C0B35"/>
    <w:rsid w:val="004D33D0"/>
    <w:rsid w:val="004E2915"/>
    <w:rsid w:val="00511469"/>
    <w:rsid w:val="00513462"/>
    <w:rsid w:val="00526100"/>
    <w:rsid w:val="005514C8"/>
    <w:rsid w:val="00567D26"/>
    <w:rsid w:val="00574B75"/>
    <w:rsid w:val="005812C5"/>
    <w:rsid w:val="00595503"/>
    <w:rsid w:val="00595B82"/>
    <w:rsid w:val="005B4365"/>
    <w:rsid w:val="005C6124"/>
    <w:rsid w:val="005C62EA"/>
    <w:rsid w:val="005F3EBE"/>
    <w:rsid w:val="0060042A"/>
    <w:rsid w:val="00614A93"/>
    <w:rsid w:val="00621AE0"/>
    <w:rsid w:val="006263D2"/>
    <w:rsid w:val="00634A60"/>
    <w:rsid w:val="00636783"/>
    <w:rsid w:val="006565BE"/>
    <w:rsid w:val="00670B6E"/>
    <w:rsid w:val="00685315"/>
    <w:rsid w:val="00690383"/>
    <w:rsid w:val="00694FC7"/>
    <w:rsid w:val="006D07E3"/>
    <w:rsid w:val="006D64BC"/>
    <w:rsid w:val="006E129E"/>
    <w:rsid w:val="006E1760"/>
    <w:rsid w:val="006E23B7"/>
    <w:rsid w:val="006E5487"/>
    <w:rsid w:val="00704ABB"/>
    <w:rsid w:val="00704AF4"/>
    <w:rsid w:val="00715501"/>
    <w:rsid w:val="007201C4"/>
    <w:rsid w:val="00730E99"/>
    <w:rsid w:val="00735DB5"/>
    <w:rsid w:val="00737A12"/>
    <w:rsid w:val="0075329D"/>
    <w:rsid w:val="007570DB"/>
    <w:rsid w:val="00763C0D"/>
    <w:rsid w:val="00771CFF"/>
    <w:rsid w:val="007769FE"/>
    <w:rsid w:val="00784426"/>
    <w:rsid w:val="0079219F"/>
    <w:rsid w:val="007978E6"/>
    <w:rsid w:val="00797D36"/>
    <w:rsid w:val="007A5615"/>
    <w:rsid w:val="007B7B4F"/>
    <w:rsid w:val="007C3174"/>
    <w:rsid w:val="007D1A84"/>
    <w:rsid w:val="007D25DD"/>
    <w:rsid w:val="007D35D0"/>
    <w:rsid w:val="007F1F7C"/>
    <w:rsid w:val="007F67C2"/>
    <w:rsid w:val="00802208"/>
    <w:rsid w:val="00812026"/>
    <w:rsid w:val="008146B0"/>
    <w:rsid w:val="00815883"/>
    <w:rsid w:val="008244BC"/>
    <w:rsid w:val="00837115"/>
    <w:rsid w:val="008579C9"/>
    <w:rsid w:val="00896EFD"/>
    <w:rsid w:val="00897E2C"/>
    <w:rsid w:val="008D363C"/>
    <w:rsid w:val="008E31BE"/>
    <w:rsid w:val="008E6743"/>
    <w:rsid w:val="008F0C85"/>
    <w:rsid w:val="008F1FF9"/>
    <w:rsid w:val="008F6B84"/>
    <w:rsid w:val="00915E33"/>
    <w:rsid w:val="00920134"/>
    <w:rsid w:val="0092343D"/>
    <w:rsid w:val="00925B8A"/>
    <w:rsid w:val="0092736C"/>
    <w:rsid w:val="0092773F"/>
    <w:rsid w:val="00930293"/>
    <w:rsid w:val="00936499"/>
    <w:rsid w:val="0094431A"/>
    <w:rsid w:val="009509C2"/>
    <w:rsid w:val="00971A7C"/>
    <w:rsid w:val="009846A7"/>
    <w:rsid w:val="0098783F"/>
    <w:rsid w:val="009E08F7"/>
    <w:rsid w:val="009E1B0C"/>
    <w:rsid w:val="009E33DE"/>
    <w:rsid w:val="009F0A10"/>
    <w:rsid w:val="009F48EE"/>
    <w:rsid w:val="00A11F3C"/>
    <w:rsid w:val="00A12268"/>
    <w:rsid w:val="00A1787F"/>
    <w:rsid w:val="00A20B68"/>
    <w:rsid w:val="00A240B7"/>
    <w:rsid w:val="00A24135"/>
    <w:rsid w:val="00A26789"/>
    <w:rsid w:val="00A36F03"/>
    <w:rsid w:val="00A41BA0"/>
    <w:rsid w:val="00A60389"/>
    <w:rsid w:val="00A8548A"/>
    <w:rsid w:val="00AA3DA7"/>
    <w:rsid w:val="00AB0E86"/>
    <w:rsid w:val="00AB2E34"/>
    <w:rsid w:val="00AC7B0C"/>
    <w:rsid w:val="00AE147F"/>
    <w:rsid w:val="00AE31CA"/>
    <w:rsid w:val="00B07350"/>
    <w:rsid w:val="00B07D5B"/>
    <w:rsid w:val="00B21B53"/>
    <w:rsid w:val="00B26DA2"/>
    <w:rsid w:val="00B2753A"/>
    <w:rsid w:val="00B37FA5"/>
    <w:rsid w:val="00B40298"/>
    <w:rsid w:val="00B56E3B"/>
    <w:rsid w:val="00B57289"/>
    <w:rsid w:val="00B6365B"/>
    <w:rsid w:val="00B65046"/>
    <w:rsid w:val="00B92B63"/>
    <w:rsid w:val="00BC79E3"/>
    <w:rsid w:val="00BD29B1"/>
    <w:rsid w:val="00BE43DE"/>
    <w:rsid w:val="00BE62B4"/>
    <w:rsid w:val="00BF0764"/>
    <w:rsid w:val="00C037FB"/>
    <w:rsid w:val="00C06BAB"/>
    <w:rsid w:val="00C17311"/>
    <w:rsid w:val="00C176FB"/>
    <w:rsid w:val="00C31C16"/>
    <w:rsid w:val="00C32903"/>
    <w:rsid w:val="00C4013F"/>
    <w:rsid w:val="00C50D60"/>
    <w:rsid w:val="00C53563"/>
    <w:rsid w:val="00C632EC"/>
    <w:rsid w:val="00C82365"/>
    <w:rsid w:val="00C90CDC"/>
    <w:rsid w:val="00C9453C"/>
    <w:rsid w:val="00CC30A8"/>
    <w:rsid w:val="00CC5444"/>
    <w:rsid w:val="00CC7983"/>
    <w:rsid w:val="00CD6D47"/>
    <w:rsid w:val="00CE12CE"/>
    <w:rsid w:val="00CE4CF6"/>
    <w:rsid w:val="00CE59E6"/>
    <w:rsid w:val="00CE684F"/>
    <w:rsid w:val="00CE6BF5"/>
    <w:rsid w:val="00CF0C84"/>
    <w:rsid w:val="00CF383D"/>
    <w:rsid w:val="00D40AF7"/>
    <w:rsid w:val="00D40EE9"/>
    <w:rsid w:val="00D54227"/>
    <w:rsid w:val="00D543AA"/>
    <w:rsid w:val="00D6435B"/>
    <w:rsid w:val="00D66F88"/>
    <w:rsid w:val="00D75FFB"/>
    <w:rsid w:val="00D8332D"/>
    <w:rsid w:val="00D857ED"/>
    <w:rsid w:val="00D93762"/>
    <w:rsid w:val="00DA0CAA"/>
    <w:rsid w:val="00DA1477"/>
    <w:rsid w:val="00DA6C84"/>
    <w:rsid w:val="00DB3844"/>
    <w:rsid w:val="00DC0FB9"/>
    <w:rsid w:val="00DC2C76"/>
    <w:rsid w:val="00DC41BA"/>
    <w:rsid w:val="00DD0DD2"/>
    <w:rsid w:val="00DD5068"/>
    <w:rsid w:val="00DE03D2"/>
    <w:rsid w:val="00DE07A2"/>
    <w:rsid w:val="00DF3565"/>
    <w:rsid w:val="00E05B59"/>
    <w:rsid w:val="00E10B21"/>
    <w:rsid w:val="00E25A0A"/>
    <w:rsid w:val="00E4265E"/>
    <w:rsid w:val="00E51E5D"/>
    <w:rsid w:val="00E62D25"/>
    <w:rsid w:val="00E75B60"/>
    <w:rsid w:val="00E77704"/>
    <w:rsid w:val="00E778DE"/>
    <w:rsid w:val="00E946BD"/>
    <w:rsid w:val="00E9564F"/>
    <w:rsid w:val="00EA303B"/>
    <w:rsid w:val="00EA436B"/>
    <w:rsid w:val="00EB7165"/>
    <w:rsid w:val="00EC105C"/>
    <w:rsid w:val="00EC67C3"/>
    <w:rsid w:val="00EC726E"/>
    <w:rsid w:val="00EE3A74"/>
    <w:rsid w:val="00EF49A2"/>
    <w:rsid w:val="00F1107A"/>
    <w:rsid w:val="00F130B1"/>
    <w:rsid w:val="00F2337D"/>
    <w:rsid w:val="00F25976"/>
    <w:rsid w:val="00F564FD"/>
    <w:rsid w:val="00F61A5D"/>
    <w:rsid w:val="00F66BEB"/>
    <w:rsid w:val="00F91161"/>
    <w:rsid w:val="00FB3FAF"/>
    <w:rsid w:val="00FB53E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169BD4C"/>
  <w15:docId w15:val="{691117A9-678E-4B7F-B45F-8111C86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uiPriority="29" w:qFormat="1"/>
    <w:lsdException w:name="Intense Quote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5615"/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51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7A5615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Heading4">
    <w:name w:val="heading 4"/>
    <w:next w:val="BodyText"/>
    <w:link w:val="Heading4Char"/>
    <w:uiPriority w:val="2"/>
    <w:qFormat/>
    <w:rsid w:val="007A5615"/>
    <w:pPr>
      <w:keepNext/>
      <w:keepLines/>
      <w:outlineLvl w:val="3"/>
    </w:pPr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paragraph" w:styleId="Heading5">
    <w:name w:val="heading 5"/>
    <w:next w:val="BodyText"/>
    <w:link w:val="Heading5Char"/>
    <w:uiPriority w:val="2"/>
    <w:qFormat/>
    <w:rsid w:val="007A5615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2"/>
      <w:szCs w:val="24"/>
    </w:rPr>
  </w:style>
  <w:style w:type="paragraph" w:styleId="Heading6">
    <w:name w:val="heading 6"/>
    <w:next w:val="BodyText"/>
    <w:link w:val="Heading6Char"/>
    <w:uiPriority w:val="2"/>
    <w:qFormat/>
    <w:rsid w:val="007A5615"/>
    <w:pPr>
      <w:keepNext/>
      <w:keepLines/>
      <w:outlineLvl w:val="5"/>
    </w:pPr>
    <w:rPr>
      <w:rFonts w:asciiTheme="majorHAnsi" w:eastAsiaTheme="majorEastAsia" w:hAnsiTheme="majorHAnsi" w:cstheme="majorBidi"/>
      <w:color w:val="000000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D8332D"/>
    <w:pPr>
      <w:tabs>
        <w:tab w:val="center" w:pos="4680"/>
        <w:tab w:val="right" w:pos="9360"/>
      </w:tabs>
      <w:spacing w:before="780" w:after="360"/>
      <w:contextualSpacing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8332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5B"/>
  </w:style>
  <w:style w:type="paragraph" w:styleId="BalloonText">
    <w:name w:val="Balloon Text"/>
    <w:basedOn w:val="Normal"/>
    <w:link w:val="BalloonTextChar"/>
    <w:uiPriority w:val="99"/>
    <w:semiHidden/>
    <w:unhideWhenUsed/>
    <w:rsid w:val="00B0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D5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435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435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locked/>
    <w:rsid w:val="00E5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Table">
    <w:name w:val="Accessible Table"/>
    <w:basedOn w:val="TableNormal"/>
    <w:uiPriority w:val="99"/>
    <w:rsid w:val="00BC79E3"/>
    <w:pPr>
      <w:spacing w:after="0" w:line="240" w:lineRule="auto"/>
      <w:jc w:val="center"/>
    </w:pPr>
    <w:rPr>
      <w:sz w:val="20"/>
    </w:rPr>
    <w:tblPr>
      <w:tblStyleRowBandSize w:val="1"/>
      <w:tblCellMar>
        <w:top w:w="80" w:type="dxa"/>
        <w:left w:w="60" w:type="dxa"/>
        <w:bottom w:w="40" w:type="dxa"/>
        <w:right w:w="60" w:type="dxa"/>
      </w:tblCellMar>
    </w:tblPr>
    <w:trPr>
      <w:cantSplit/>
    </w:tr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C4DDF4" w:themeFill="accent1" w:themeFillTint="66"/>
        <w:vAlign w:val="bottom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C4DDF4" w:themeFill="accent1" w:themeFillTint="66"/>
      </w:tcPr>
    </w:tblStylePr>
    <w:tblStylePr w:type="firstCol">
      <w:pPr>
        <w:jc w:val="left"/>
      </w:pPr>
      <w:rPr>
        <w:b/>
      </w:rPr>
      <w:tblPr/>
      <w:tcPr>
        <w:shd w:val="clear" w:color="auto" w:fill="C4DDF4" w:themeFill="accent1" w:themeFillTint="66"/>
      </w:tc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C4DDF4" w:themeFill="accent1" w:themeFillTint="66"/>
      </w:tcPr>
    </w:tblStylePr>
    <w:tblStylePr w:type="band2Horz">
      <w:tblPr/>
      <w:tcPr>
        <w:shd w:val="clear" w:color="auto" w:fill="E1EEF9" w:themeFill="accent1" w:themeFillTint="33"/>
      </w:tcPr>
    </w:tblStylePr>
  </w:style>
  <w:style w:type="character" w:customStyle="1" w:styleId="dateFooter">
    <w:name w:val="dateFooter"/>
    <w:basedOn w:val="DefaultParagraphFont"/>
    <w:uiPriority w:val="1"/>
    <w:locked/>
    <w:rsid w:val="001462C5"/>
    <w:rPr>
      <w:rFonts w:asciiTheme="minorHAnsi" w:hAnsiTheme="minorHAnsi"/>
      <w:sz w:val="22"/>
    </w:rPr>
  </w:style>
  <w:style w:type="paragraph" w:customStyle="1" w:styleId="h1">
    <w:name w:val="h1"/>
    <w:basedOn w:val="Normal"/>
    <w:next w:val="PText"/>
    <w:link w:val="h1Char"/>
    <w:qFormat/>
    <w:locked/>
    <w:rsid w:val="00CE684F"/>
    <w:pPr>
      <w:keepNext/>
      <w:outlineLvl w:val="0"/>
    </w:pPr>
    <w:rPr>
      <w:rFonts w:asciiTheme="majorHAnsi" w:hAnsiTheme="majorHAnsi"/>
      <w:b/>
      <w:u w:val="single"/>
    </w:rPr>
  </w:style>
  <w:style w:type="paragraph" w:customStyle="1" w:styleId="PText">
    <w:name w:val="P Text"/>
    <w:basedOn w:val="Normal"/>
    <w:link w:val="PTextChar"/>
    <w:autoRedefine/>
    <w:qFormat/>
    <w:locked/>
    <w:rsid w:val="008E6743"/>
    <w:pPr>
      <w:tabs>
        <w:tab w:val="left" w:pos="5040"/>
        <w:tab w:val="left" w:pos="6149"/>
      </w:tabs>
      <w:spacing w:after="0" w:line="240" w:lineRule="auto"/>
    </w:pPr>
    <w:rPr>
      <w:rFonts w:ascii="Verdana" w:hAnsi="Verdana"/>
      <w:bCs/>
    </w:rPr>
  </w:style>
  <w:style w:type="paragraph" w:customStyle="1" w:styleId="Title2">
    <w:name w:val="Title 2"/>
    <w:basedOn w:val="Normal"/>
    <w:qFormat/>
    <w:locked/>
    <w:rsid w:val="007A5615"/>
    <w:pPr>
      <w:outlineLvl w:val="0"/>
    </w:pPr>
    <w:rPr>
      <w:caps/>
    </w:rPr>
  </w:style>
  <w:style w:type="paragraph" w:customStyle="1" w:styleId="Title1">
    <w:name w:val="Title 1"/>
    <w:basedOn w:val="Normal"/>
    <w:qFormat/>
    <w:locked/>
    <w:rsid w:val="007A5615"/>
    <w:pPr>
      <w:outlineLvl w:val="0"/>
    </w:pPr>
    <w:rPr>
      <w:u w:val="single"/>
    </w:rPr>
  </w:style>
  <w:style w:type="paragraph" w:customStyle="1" w:styleId="CAPS">
    <w:name w:val="CAPS"/>
    <w:basedOn w:val="Title2"/>
    <w:qFormat/>
    <w:rsid w:val="00AC7B0C"/>
    <w:pPr>
      <w:spacing w:after="0" w:line="240" w:lineRule="auto"/>
    </w:pPr>
  </w:style>
  <w:style w:type="paragraph" w:styleId="NoSpacing">
    <w:name w:val="No Spacing"/>
    <w:uiPriority w:val="1"/>
    <w:qFormat/>
    <w:rsid w:val="00C037FB"/>
    <w:pPr>
      <w:spacing w:after="0" w:line="240" w:lineRule="auto"/>
    </w:pPr>
  </w:style>
  <w:style w:type="paragraph" w:styleId="Date">
    <w:name w:val="Date"/>
    <w:basedOn w:val="Normal"/>
    <w:next w:val="Title1"/>
    <w:link w:val="DateChar"/>
    <w:rsid w:val="00AC7B0C"/>
    <w:pPr>
      <w:spacing w:before="600"/>
      <w:jc w:val="center"/>
    </w:pPr>
  </w:style>
  <w:style w:type="character" w:customStyle="1" w:styleId="DateChar">
    <w:name w:val="Date Char"/>
    <w:basedOn w:val="DefaultParagraphFont"/>
    <w:link w:val="Date"/>
    <w:rsid w:val="00AC7B0C"/>
  </w:style>
  <w:style w:type="table" w:customStyle="1" w:styleId="HHSLayoutTableforMemos">
    <w:name w:val="HHS Layout Table for Memos"/>
    <w:basedOn w:val="TableNormal"/>
    <w:uiPriority w:val="99"/>
    <w:rsid w:val="00BC79E3"/>
    <w:pPr>
      <w:spacing w:after="0" w:line="240" w:lineRule="auto"/>
    </w:pPr>
    <w:tblPr>
      <w:tblCellMar>
        <w:left w:w="0" w:type="dxa"/>
        <w:bottom w:w="240" w:type="dxa"/>
        <w:right w:w="0" w:type="dxa"/>
      </w:tblCellMar>
    </w:tblPr>
  </w:style>
  <w:style w:type="table" w:customStyle="1" w:styleId="HHSMemoRouting">
    <w:name w:val="HHS Memo Routing"/>
    <w:basedOn w:val="TableNormal"/>
    <w:uiPriority w:val="99"/>
    <w:rsid w:val="00CE684F"/>
    <w:pPr>
      <w:spacing w:after="0" w:line="240" w:lineRule="auto"/>
    </w:pPr>
    <w:tblPr>
      <w:tblCellMar>
        <w:left w:w="0" w:type="dxa"/>
        <w:bottom w:w="240" w:type="dxa"/>
        <w:right w:w="220" w:type="dxa"/>
      </w:tblCellMar>
    </w:tblPr>
  </w:style>
  <w:style w:type="table" w:customStyle="1" w:styleId="HHSMemoDecisionTable">
    <w:name w:val="HHS Memo Decision Table"/>
    <w:basedOn w:val="TableNormal"/>
    <w:uiPriority w:val="99"/>
    <w:rsid w:val="00BC79E3"/>
    <w:pPr>
      <w:spacing w:after="0" w:line="240" w:lineRule="auto"/>
    </w:pPr>
    <w:tblPr>
      <w:tblBorders>
        <w:left w:val="single" w:sz="4" w:space="0" w:color="auto"/>
        <w:bottom w:val="single" w:sz="4" w:space="0" w:color="auto"/>
        <w:right w:val="single" w:sz="4" w:space="0" w:color="auto"/>
      </w:tblBorders>
      <w:tblCellMar>
        <w:top w:w="200" w:type="dxa"/>
      </w:tblCellMar>
    </w:tblPr>
  </w:style>
  <w:style w:type="paragraph" w:customStyle="1" w:styleId="ECDecision">
    <w:name w:val="EC Decision"/>
    <w:basedOn w:val="h1"/>
    <w:next w:val="Normal"/>
    <w:link w:val="ECDecisionChar"/>
    <w:qFormat/>
    <w:rsid w:val="00C9453C"/>
    <w:pPr>
      <w:pBdr>
        <w:top w:val="single" w:sz="4" w:space="6" w:color="auto"/>
        <w:left w:val="single" w:sz="4" w:space="4" w:color="auto"/>
        <w:right w:val="single" w:sz="4" w:space="9" w:color="auto"/>
      </w:pBdr>
      <w:spacing w:before="240" w:after="0"/>
      <w:ind w:left="101"/>
    </w:pPr>
  </w:style>
  <w:style w:type="character" w:customStyle="1" w:styleId="h1Char">
    <w:name w:val="h1 Char"/>
    <w:basedOn w:val="DefaultParagraphFont"/>
    <w:link w:val="h1"/>
    <w:rsid w:val="00B57289"/>
    <w:rPr>
      <w:rFonts w:asciiTheme="majorHAnsi" w:hAnsiTheme="majorHAnsi"/>
      <w:b/>
      <w:u w:val="single"/>
    </w:rPr>
  </w:style>
  <w:style w:type="character" w:customStyle="1" w:styleId="ECDecisionChar">
    <w:name w:val="EC Decision Char"/>
    <w:basedOn w:val="h1Char"/>
    <w:link w:val="ECDecision"/>
    <w:rsid w:val="00C9453C"/>
    <w:rPr>
      <w:rFonts w:asciiTheme="majorHAnsi" w:hAnsiTheme="majorHAnsi"/>
      <w:b/>
      <w:u w:val="single"/>
    </w:rPr>
  </w:style>
  <w:style w:type="character" w:customStyle="1" w:styleId="PTextChar">
    <w:name w:val="P Text Char"/>
    <w:basedOn w:val="DefaultParagraphFont"/>
    <w:link w:val="PText"/>
    <w:locked/>
    <w:rsid w:val="008E6743"/>
    <w:rPr>
      <w:rFonts w:ascii="Verdana" w:hAnsi="Verdana"/>
      <w:bCs/>
    </w:rPr>
  </w:style>
  <w:style w:type="paragraph" w:customStyle="1" w:styleId="CommentHeadings">
    <w:name w:val="Comment Headings"/>
    <w:basedOn w:val="Heading2"/>
    <w:next w:val="CommentsText"/>
    <w:rsid w:val="000A05C2"/>
    <w:pPr>
      <w:spacing w:before="120" w:after="120"/>
      <w:ind w:left="720"/>
    </w:pPr>
    <w:rPr>
      <w:color w:val="auto"/>
      <w:sz w:val="22"/>
      <w:u w:val="single"/>
    </w:rPr>
  </w:style>
  <w:style w:type="paragraph" w:customStyle="1" w:styleId="CommentsText">
    <w:name w:val="Comments Text"/>
    <w:basedOn w:val="PText"/>
    <w:rsid w:val="00636783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15"/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A5615"/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BodyText">
    <w:name w:val="Body Text"/>
    <w:basedOn w:val="Normal"/>
    <w:link w:val="BodyTextChar"/>
    <w:unhideWhenUsed/>
    <w:qFormat/>
    <w:rsid w:val="007A56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5615"/>
  </w:style>
  <w:style w:type="character" w:customStyle="1" w:styleId="Heading4Char">
    <w:name w:val="Heading 4 Char"/>
    <w:basedOn w:val="DefaultParagraphFont"/>
    <w:link w:val="Heading4"/>
    <w:uiPriority w:val="2"/>
    <w:rsid w:val="007A5615"/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7A5615"/>
    <w:rPr>
      <w:rFonts w:asciiTheme="majorHAnsi" w:eastAsiaTheme="majorEastAsia" w:hAnsiTheme="majorHAnsi" w:cstheme="majorBidi"/>
      <w:i/>
      <w:color w:val="000000" w:themeColor="text2"/>
      <w:szCs w:val="24"/>
    </w:rPr>
  </w:style>
  <w:style w:type="character" w:customStyle="1" w:styleId="Heading6Char">
    <w:name w:val="Heading 6 Char"/>
    <w:basedOn w:val="DefaultParagraphFont"/>
    <w:link w:val="Heading6"/>
    <w:uiPriority w:val="2"/>
    <w:rsid w:val="007A5615"/>
    <w:rPr>
      <w:rFonts w:asciiTheme="majorHAnsi" w:eastAsiaTheme="majorEastAsia" w:hAnsiTheme="majorHAnsi" w:cstheme="majorBidi"/>
      <w:color w:val="000000" w:themeColor="text2"/>
      <w:szCs w:val="24"/>
    </w:rPr>
  </w:style>
  <w:style w:type="character" w:styleId="Hyperlink">
    <w:name w:val="Hyperlink"/>
    <w:basedOn w:val="DefaultParagraphFont"/>
    <w:uiPriority w:val="99"/>
    <w:rsid w:val="007A5615"/>
    <w:rPr>
      <w:color w:val="0965D5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43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rsid w:val="008E674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texas.gov/handbooks/starplus-handbook/appendix-xvi-long-term-services-supports-codes-modifi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aged_Care_Initiatives@hhs.texa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hhs.texas.gov/handbooks/starplus-handbook/hhsc-policy-upd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hs.texas.gov/handbooks/starplus-handbook/appendix-xvi-long-term-services-supports-codes-modifier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01\Downloads\hhsc-action-memorandum.dotx" TargetMode="External"/></Relationships>
</file>

<file path=word/theme/theme1.xml><?xml version="1.0" encoding="utf-8"?>
<a:theme xmlns:a="http://schemas.openxmlformats.org/drawingml/2006/main" name="HHS Basic Theme 2.0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965D5"/>
      </a:hlink>
      <a:folHlink>
        <a:srgbClr val="0965D5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AFEF-5ABA-4CFB-9D4A-FAD05392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hhsc-action-memorandum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Memorandum for the Executive Commissioner</vt:lpstr>
    </vt:vector>
  </TitlesOfParts>
  <Manager/>
  <Company>Texas Department on Ageing and Disability Services</Company>
  <LinksUpToDate>false</LinksUpToDate>
  <CharactersWithSpaces>3665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Memorandum for the Executive Commissioner</dc:title>
  <dc:subject/>
  <dc:creator>Ma,Christina (HHSC)</dc:creator>
  <cp:keywords/>
  <dc:description>Revision date: Feb. 27, 2020.</dc:description>
  <cp:lastModifiedBy>Federico,Heather (HHSC)</cp:lastModifiedBy>
  <cp:revision>3</cp:revision>
  <cp:lastPrinted>2018-05-25T21:09:00Z</cp:lastPrinted>
  <dcterms:created xsi:type="dcterms:W3CDTF">2022-05-31T22:40:00Z</dcterms:created>
  <dcterms:modified xsi:type="dcterms:W3CDTF">2022-06-01T20:33:00Z</dcterms:modified>
  <cp:category/>
</cp:coreProperties>
</file>