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CB2F" w14:textId="77777777" w:rsidR="004372BF" w:rsidRPr="00DB7DE6" w:rsidRDefault="004372BF" w:rsidP="004372BF">
      <w:pPr>
        <w:shd w:val="clear" w:color="auto" w:fill="FFFFFF"/>
        <w:spacing w:before="225" w:after="75"/>
        <w:outlineLvl w:val="0"/>
        <w:rPr>
          <w:rFonts w:eastAsia="Times New Roman" w:cs="Arial"/>
          <w:b/>
          <w:color w:val="auto"/>
          <w:kern w:val="36"/>
          <w:sz w:val="24"/>
          <w:szCs w:val="24"/>
          <w:lang w:val="en"/>
        </w:rPr>
      </w:pPr>
      <w:r w:rsidRPr="00DB7DE6">
        <w:rPr>
          <w:rFonts w:eastAsia="Times New Roman" w:cs="Arial"/>
          <w:b/>
          <w:color w:val="auto"/>
          <w:kern w:val="36"/>
          <w:sz w:val="24"/>
          <w:szCs w:val="24"/>
          <w:lang w:val="en"/>
        </w:rPr>
        <w:t>Appendix XVII, MDCP Eligibility TAC</w:t>
      </w:r>
    </w:p>
    <w:p w14:paraId="61CEB43F" w14:textId="2ECD8F4B" w:rsidR="004372BF" w:rsidRPr="00DB7DE6" w:rsidRDefault="000A686C" w:rsidP="004372BF">
      <w:pPr>
        <w:shd w:val="clear" w:color="auto" w:fill="FFFFFF"/>
        <w:spacing w:before="225" w:after="75"/>
        <w:outlineLvl w:val="0"/>
        <w:rPr>
          <w:rFonts w:eastAsia="Times New Roman" w:cs="Arial"/>
          <w:bCs/>
          <w:color w:val="auto"/>
          <w:kern w:val="36"/>
          <w:sz w:val="24"/>
          <w:szCs w:val="24"/>
          <w:lang w:val="en"/>
        </w:rPr>
      </w:pPr>
      <w:r>
        <w:rPr>
          <w:rFonts w:eastAsia="Times New Roman" w:cs="Arial"/>
          <w:bCs/>
          <w:color w:val="auto"/>
          <w:kern w:val="36"/>
          <w:sz w:val="24"/>
          <w:szCs w:val="24"/>
          <w:lang w:val="en"/>
        </w:rPr>
        <w:t>8</w:t>
      </w:r>
      <w:r w:rsidR="004372BF" w:rsidRPr="00DB7DE6">
        <w:rPr>
          <w:rFonts w:eastAsia="Times New Roman" w:cs="Arial"/>
          <w:bCs/>
          <w:color w:val="auto"/>
          <w:kern w:val="36"/>
          <w:sz w:val="24"/>
          <w:szCs w:val="24"/>
          <w:lang w:val="en"/>
        </w:rPr>
        <w:t>-2022</w:t>
      </w:r>
    </w:p>
    <w:p w14:paraId="51E5BD7C" w14:textId="1EFF0105" w:rsidR="004372BF" w:rsidRPr="00DB7DE6" w:rsidRDefault="004372BF" w:rsidP="003A71E7">
      <w:pPr>
        <w:shd w:val="clear" w:color="auto" w:fill="FFFFFF"/>
        <w:spacing w:before="225" w:line="240" w:lineRule="auto"/>
        <w:jc w:val="center"/>
        <w:outlineLvl w:val="0"/>
        <w:rPr>
          <w:rFonts w:eastAsia="Times New Roman" w:cs="Arial"/>
          <w:b/>
          <w:color w:val="auto"/>
          <w:kern w:val="36"/>
          <w:sz w:val="24"/>
          <w:szCs w:val="24"/>
          <w:lang w:val="en"/>
        </w:rPr>
      </w:pPr>
      <w:r w:rsidRPr="00DB7DE6">
        <w:rPr>
          <w:rFonts w:eastAsia="Times New Roman" w:cs="Arial"/>
          <w:b/>
          <w:color w:val="auto"/>
          <w:kern w:val="36"/>
          <w:sz w:val="24"/>
          <w:szCs w:val="24"/>
          <w:lang w:val="en"/>
        </w:rPr>
        <w:t>1 Texas Administrative Code</w:t>
      </w:r>
      <w:r w:rsidRPr="00DB7DE6">
        <w:rPr>
          <w:b/>
          <w:color w:val="auto"/>
          <w:sz w:val="24"/>
          <w:szCs w:val="24"/>
        </w:rPr>
        <w:t xml:space="preserve"> </w:t>
      </w:r>
      <w:r w:rsidR="00756408">
        <w:rPr>
          <w:b/>
          <w:color w:val="auto"/>
          <w:sz w:val="24"/>
          <w:szCs w:val="24"/>
        </w:rPr>
        <w:t xml:space="preserve">Section </w:t>
      </w:r>
      <w:r w:rsidRPr="00DB7DE6">
        <w:rPr>
          <w:rFonts w:eastAsia="Times New Roman" w:cs="Arial"/>
          <w:b/>
          <w:color w:val="auto"/>
          <w:kern w:val="36"/>
          <w:sz w:val="24"/>
          <w:szCs w:val="24"/>
          <w:lang w:val="en"/>
        </w:rPr>
        <w:t xml:space="preserve">353.1155 Medically Dependent Children Program </w:t>
      </w:r>
      <w:r w:rsidRPr="00DB7DE6">
        <w:rPr>
          <w:rFonts w:eastAsia="Times New Roman" w:cs="Segoe UI Light"/>
          <w:b/>
          <w:color w:val="auto"/>
          <w:kern w:val="36"/>
          <w:sz w:val="24"/>
          <w:szCs w:val="24"/>
          <w:lang w:val="en"/>
        </w:rPr>
        <w:t>(MDCP)</w:t>
      </w:r>
    </w:p>
    <w:p w14:paraId="0AC8CFDF" w14:textId="04779B35" w:rsidR="004372BF" w:rsidRPr="009E0AE4" w:rsidRDefault="00392B47" w:rsidP="009E0AE4">
      <w:pPr>
        <w:shd w:val="clear" w:color="auto" w:fill="FFFFFF"/>
        <w:spacing w:line="240" w:lineRule="auto"/>
        <w:rPr>
          <w:rFonts w:eastAsia="Times New Roman" w:cs="Segoe UI"/>
          <w:color w:val="auto"/>
          <w:sz w:val="24"/>
          <w:szCs w:val="24"/>
          <w:lang w:val="en"/>
        </w:rPr>
      </w:pPr>
      <w:r>
        <w:rPr>
          <w:rFonts w:eastAsia="Times New Roman" w:cs="Segoe UI"/>
          <w:noProof/>
          <w:color w:val="auto"/>
          <w:sz w:val="24"/>
          <w:szCs w:val="24"/>
          <w:lang w:val="en"/>
        </w:rPr>
        <w:pict w14:anchorId="7BC4C3E3">
          <v:rect id="_x0000_i1025" alt="" style="width:468pt;height:1.5pt;mso-width-percent:0;mso-height-percent:0;mso-width-percent:0;mso-height-percent:0" o:hralign="center" o:hrstd="t" o:hrnoshade="t" o:hr="t" fillcolor="#666" stroked="f"/>
        </w:pict>
      </w:r>
    </w:p>
    <w:p w14:paraId="2951B581" w14:textId="4CA5AC1E"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An MCO assesses an individual's eligibility for MDCP. </w:t>
      </w:r>
    </w:p>
    <w:p w14:paraId="3EACED28" w14:textId="4BA7A960" w:rsidR="004372BF" w:rsidRPr="00DB7DE6" w:rsidRDefault="004372BF" w:rsidP="004372BF">
      <w:pPr>
        <w:pStyle w:val="BodyText"/>
        <w:spacing w:before="0" w:after="120" w:line="240" w:lineRule="auto"/>
        <w:rPr>
          <w:color w:val="auto"/>
          <w:sz w:val="24"/>
          <w:szCs w:val="24"/>
        </w:rPr>
      </w:pPr>
      <w:r w:rsidRPr="00DB7DE6">
        <w:rPr>
          <w:color w:val="auto"/>
          <w:sz w:val="24"/>
          <w:szCs w:val="24"/>
        </w:rPr>
        <w:t xml:space="preserve">(1) To be eligible for MDCP, </w:t>
      </w:r>
      <w:r w:rsidR="005C5388">
        <w:rPr>
          <w:color w:val="auto"/>
          <w:sz w:val="24"/>
          <w:szCs w:val="24"/>
        </w:rPr>
        <w:t>a</w:t>
      </w:r>
      <w:r w:rsidR="005C5388" w:rsidRPr="00DB7DE6">
        <w:rPr>
          <w:color w:val="auto"/>
          <w:sz w:val="24"/>
          <w:szCs w:val="24"/>
        </w:rPr>
        <w:t xml:space="preserve"> </w:t>
      </w:r>
      <w:r w:rsidR="005C5388">
        <w:rPr>
          <w:color w:val="auto"/>
          <w:sz w:val="24"/>
          <w:szCs w:val="24"/>
        </w:rPr>
        <w:t>person</w:t>
      </w:r>
      <w:r w:rsidR="005C5388" w:rsidRPr="00DB7DE6">
        <w:rPr>
          <w:color w:val="auto"/>
          <w:sz w:val="24"/>
          <w:szCs w:val="24"/>
        </w:rPr>
        <w:t xml:space="preserve"> </w:t>
      </w:r>
      <w:r w:rsidRPr="00DB7DE6">
        <w:rPr>
          <w:color w:val="auto"/>
          <w:sz w:val="24"/>
          <w:szCs w:val="24"/>
        </w:rPr>
        <w:t>must:</w:t>
      </w:r>
    </w:p>
    <w:p w14:paraId="0B12E277" w14:textId="7A19B57E" w:rsidR="004372BF" w:rsidRPr="00DB7DE6" w:rsidRDefault="004372BF" w:rsidP="004372BF">
      <w:pPr>
        <w:pStyle w:val="BodyText"/>
        <w:spacing w:before="0" w:after="120" w:line="240" w:lineRule="auto"/>
        <w:rPr>
          <w:color w:val="auto"/>
          <w:sz w:val="24"/>
          <w:szCs w:val="24"/>
        </w:rPr>
      </w:pPr>
      <w:r w:rsidRPr="00DB7DE6">
        <w:rPr>
          <w:color w:val="auto"/>
          <w:sz w:val="24"/>
          <w:szCs w:val="24"/>
        </w:rPr>
        <w:t xml:space="preserve">(A) be under 21 </w:t>
      </w:r>
      <w:r w:rsidR="002F08D4">
        <w:rPr>
          <w:color w:val="auto"/>
          <w:sz w:val="24"/>
          <w:szCs w:val="24"/>
        </w:rPr>
        <w:t>years old</w:t>
      </w:r>
      <w:r w:rsidRPr="00DB7DE6">
        <w:rPr>
          <w:color w:val="auto"/>
          <w:sz w:val="24"/>
          <w:szCs w:val="24"/>
        </w:rPr>
        <w:t xml:space="preserve">; </w:t>
      </w:r>
    </w:p>
    <w:p w14:paraId="6E8694EB" w14:textId="47549903"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w:t>
      </w:r>
      <w:r w:rsidR="00BF68E3">
        <w:rPr>
          <w:color w:val="auto"/>
          <w:sz w:val="24"/>
          <w:szCs w:val="24"/>
        </w:rPr>
        <w:t>live</w:t>
      </w:r>
      <w:r w:rsidR="00BF68E3" w:rsidRPr="00DB7DE6">
        <w:rPr>
          <w:color w:val="auto"/>
          <w:sz w:val="24"/>
          <w:szCs w:val="24"/>
        </w:rPr>
        <w:t xml:space="preserve"> </w:t>
      </w:r>
      <w:r w:rsidRPr="00DB7DE6">
        <w:rPr>
          <w:color w:val="auto"/>
          <w:sz w:val="24"/>
          <w:szCs w:val="24"/>
        </w:rPr>
        <w:t xml:space="preserve">in Texas; </w:t>
      </w:r>
    </w:p>
    <w:p w14:paraId="3C0BE339"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(C) meet the level of care criteria for medical necessity for nursing facility care as determined by HHSC; </w:t>
      </w:r>
    </w:p>
    <w:p w14:paraId="2F18D242"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(D) have an unmet need for support in the community that can be met through one or more MDCP services; </w:t>
      </w:r>
    </w:p>
    <w:p w14:paraId="6646EB91" w14:textId="137ED3D8"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(E) choose MDCP as an alternative to nursing facility services, as described in 42 CFR </w:t>
      </w:r>
      <w:r w:rsidR="00987BDE">
        <w:rPr>
          <w:color w:val="auto"/>
          <w:sz w:val="24"/>
          <w:szCs w:val="24"/>
        </w:rPr>
        <w:t xml:space="preserve">Section </w:t>
      </w:r>
      <w:r w:rsidRPr="00DB7DE6">
        <w:rPr>
          <w:color w:val="auto"/>
          <w:sz w:val="24"/>
          <w:szCs w:val="24"/>
        </w:rPr>
        <w:t xml:space="preserve">441.302(d); </w:t>
      </w:r>
    </w:p>
    <w:p w14:paraId="49C7FF5A"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(F) not be enrolled in one of the following Medicaid HCBS waiver programs approved by CMS: </w:t>
      </w:r>
    </w:p>
    <w:p w14:paraId="189C0C32"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 the Community Living Assistance and Support Services (CLASS) Program; </w:t>
      </w:r>
    </w:p>
    <w:p w14:paraId="358C8E3D"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(ii) the Deaf Blind with Multiple Disabilities (DBMD) Program; </w:t>
      </w:r>
    </w:p>
    <w:p w14:paraId="6C399D37"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(iii) the Home and Community-based Services (HCS) Program; </w:t>
      </w:r>
    </w:p>
    <w:p w14:paraId="795125C3"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(iv) the Texas Home Living (TxHmL) Program; or </w:t>
      </w:r>
    </w:p>
    <w:p w14:paraId="3922A180"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(v) the Youth Empowerment Services waiver; </w:t>
      </w:r>
    </w:p>
    <w:p w14:paraId="009A887D"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(G) live in: </w:t>
      </w:r>
    </w:p>
    <w:p w14:paraId="4372E6D9" w14:textId="0391D173"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 the </w:t>
      </w:r>
      <w:r w:rsidR="0047366C">
        <w:rPr>
          <w:color w:val="auto"/>
          <w:sz w:val="24"/>
          <w:szCs w:val="24"/>
        </w:rPr>
        <w:t>person</w:t>
      </w:r>
      <w:r w:rsidR="0047366C" w:rsidRPr="00DB7DE6">
        <w:rPr>
          <w:color w:val="auto"/>
          <w:sz w:val="24"/>
          <w:szCs w:val="24"/>
        </w:rPr>
        <w:t xml:space="preserve">’s </w:t>
      </w:r>
      <w:r w:rsidRPr="00DB7DE6">
        <w:rPr>
          <w:color w:val="auto"/>
          <w:sz w:val="24"/>
          <w:szCs w:val="24"/>
        </w:rPr>
        <w:t xml:space="preserve">home; or </w:t>
      </w:r>
    </w:p>
    <w:p w14:paraId="2A0ED898" w14:textId="0C1CE34D"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(ii) an agency foster home as defined in Texas Human Resource Code, </w:t>
      </w:r>
      <w:r w:rsidR="0047366C">
        <w:rPr>
          <w:color w:val="auto"/>
          <w:sz w:val="24"/>
          <w:szCs w:val="24"/>
        </w:rPr>
        <w:t xml:space="preserve">Section </w:t>
      </w:r>
      <w:r w:rsidRPr="00DB7DE6">
        <w:rPr>
          <w:color w:val="auto"/>
          <w:sz w:val="24"/>
          <w:szCs w:val="24"/>
        </w:rPr>
        <w:t xml:space="preserve">42.002, (relating to Definitions); and </w:t>
      </w:r>
    </w:p>
    <w:p w14:paraId="16980248"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(H) be determined by HHSC to be financially eligible for Medicaid under Chapter 358 of this title (relating to Medicaid Eligibility for the Elderly and People with Disabilities), Chapter 360 of this title (relating to Medicaid Buy-In Program), or Chapter 361 of this title (relating to Medicaid Buy-In for Children Program). </w:t>
      </w:r>
    </w:p>
    <w:p w14:paraId="609C4D6F" w14:textId="38FCE91D" w:rsidR="004372BF" w:rsidRPr="00DB7DE6" w:rsidRDefault="004372BF" w:rsidP="004372BF">
      <w:pPr>
        <w:pStyle w:val="BodyText"/>
        <w:spacing w:before="0" w:line="240" w:lineRule="auto"/>
        <w:rPr>
          <w:color w:val="auto"/>
          <w:sz w:val="24"/>
          <w:szCs w:val="24"/>
        </w:rPr>
      </w:pPr>
      <w:r w:rsidRPr="00DB7DE6">
        <w:rPr>
          <w:color w:val="auto"/>
          <w:sz w:val="24"/>
          <w:szCs w:val="24"/>
        </w:rPr>
        <w:lastRenderedPageBreak/>
        <w:t xml:space="preserve">(2) </w:t>
      </w:r>
      <w:r w:rsidR="0047366C">
        <w:rPr>
          <w:color w:val="auto"/>
          <w:sz w:val="24"/>
          <w:szCs w:val="24"/>
        </w:rPr>
        <w:t>A</w:t>
      </w:r>
      <w:r w:rsidR="0047366C" w:rsidRPr="00DB7DE6">
        <w:rPr>
          <w:color w:val="auto"/>
          <w:sz w:val="24"/>
          <w:szCs w:val="24"/>
        </w:rPr>
        <w:t xml:space="preserve"> </w:t>
      </w:r>
      <w:r w:rsidR="0047366C">
        <w:rPr>
          <w:color w:val="auto"/>
          <w:sz w:val="24"/>
          <w:szCs w:val="24"/>
        </w:rPr>
        <w:t>person</w:t>
      </w:r>
      <w:r w:rsidR="0047366C" w:rsidRPr="00DB7DE6">
        <w:rPr>
          <w:color w:val="auto"/>
          <w:sz w:val="24"/>
          <w:szCs w:val="24"/>
        </w:rPr>
        <w:t xml:space="preserve"> </w:t>
      </w:r>
      <w:r w:rsidRPr="00DB7DE6">
        <w:rPr>
          <w:color w:val="auto"/>
          <w:sz w:val="24"/>
          <w:szCs w:val="24"/>
        </w:rPr>
        <w:t xml:space="preserve">receiving Medicaid nursing facility services is approved for MDCP if the </w:t>
      </w:r>
      <w:r w:rsidR="0047366C">
        <w:rPr>
          <w:color w:val="auto"/>
          <w:sz w:val="24"/>
          <w:szCs w:val="24"/>
        </w:rPr>
        <w:t>person</w:t>
      </w:r>
      <w:r w:rsidR="0047366C" w:rsidRPr="00DB7DE6">
        <w:rPr>
          <w:color w:val="auto"/>
          <w:sz w:val="24"/>
          <w:szCs w:val="24"/>
        </w:rPr>
        <w:t xml:space="preserve"> </w:t>
      </w:r>
      <w:r w:rsidRPr="00DB7DE6">
        <w:rPr>
          <w:color w:val="auto"/>
          <w:sz w:val="24"/>
          <w:szCs w:val="24"/>
        </w:rPr>
        <w:t xml:space="preserve">requests services while residing in a nursing facility and meets the eligibility criteria listed </w:t>
      </w:r>
      <w:r w:rsidR="003A71E7" w:rsidRPr="00DB7DE6">
        <w:rPr>
          <w:color w:val="auto"/>
          <w:sz w:val="24"/>
          <w:szCs w:val="24"/>
        </w:rPr>
        <w:t xml:space="preserve">in the above </w:t>
      </w:r>
      <w:r w:rsidRPr="00DB7DE6">
        <w:rPr>
          <w:color w:val="auto"/>
          <w:sz w:val="24"/>
          <w:szCs w:val="24"/>
        </w:rPr>
        <w:t xml:space="preserve">subsection. If </w:t>
      </w:r>
      <w:r w:rsidR="0047366C">
        <w:rPr>
          <w:color w:val="auto"/>
          <w:sz w:val="24"/>
          <w:szCs w:val="24"/>
        </w:rPr>
        <w:t>a</w:t>
      </w:r>
      <w:r w:rsidR="0047366C" w:rsidRPr="00DB7DE6">
        <w:rPr>
          <w:color w:val="auto"/>
          <w:sz w:val="24"/>
          <w:szCs w:val="24"/>
        </w:rPr>
        <w:t xml:space="preserve"> </w:t>
      </w:r>
      <w:r w:rsidR="0047366C">
        <w:rPr>
          <w:color w:val="auto"/>
          <w:sz w:val="24"/>
          <w:szCs w:val="24"/>
        </w:rPr>
        <w:t>person</w:t>
      </w:r>
      <w:r w:rsidR="0047366C" w:rsidRPr="00DB7DE6">
        <w:rPr>
          <w:color w:val="auto"/>
          <w:sz w:val="24"/>
          <w:szCs w:val="24"/>
        </w:rPr>
        <w:t xml:space="preserve"> </w:t>
      </w:r>
      <w:r w:rsidRPr="00DB7DE6">
        <w:rPr>
          <w:color w:val="auto"/>
          <w:sz w:val="24"/>
          <w:szCs w:val="24"/>
        </w:rPr>
        <w:t xml:space="preserve">is discharged from a nursing facility into a community setting before being determined eligible for Medicaid nursing facility services and MDCP, the </w:t>
      </w:r>
      <w:r w:rsidR="00D22700">
        <w:rPr>
          <w:color w:val="auto"/>
          <w:sz w:val="24"/>
          <w:szCs w:val="24"/>
        </w:rPr>
        <w:t>person</w:t>
      </w:r>
      <w:r w:rsidR="00D22700" w:rsidRPr="00DB7DE6">
        <w:rPr>
          <w:color w:val="auto"/>
          <w:sz w:val="24"/>
          <w:szCs w:val="24"/>
        </w:rPr>
        <w:t xml:space="preserve"> </w:t>
      </w:r>
      <w:r w:rsidRPr="00DB7DE6">
        <w:rPr>
          <w:color w:val="auto"/>
          <w:sz w:val="24"/>
          <w:szCs w:val="24"/>
        </w:rPr>
        <w:t xml:space="preserve">is denied immediate enrollment in the program. </w:t>
      </w:r>
    </w:p>
    <w:p w14:paraId="67538DE3" w14:textId="5987CC82"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HHSC maintains a statewide interest list of </w:t>
      </w:r>
      <w:r w:rsidR="00D22700">
        <w:rPr>
          <w:color w:val="auto"/>
          <w:sz w:val="24"/>
          <w:szCs w:val="24"/>
        </w:rPr>
        <w:t>people</w:t>
      </w:r>
      <w:r w:rsidR="00D22700" w:rsidRPr="00DB7DE6">
        <w:rPr>
          <w:color w:val="auto"/>
          <w:sz w:val="24"/>
          <w:szCs w:val="24"/>
        </w:rPr>
        <w:t xml:space="preserve"> </w:t>
      </w:r>
      <w:r w:rsidRPr="00DB7DE6">
        <w:rPr>
          <w:color w:val="auto"/>
          <w:sz w:val="24"/>
          <w:szCs w:val="24"/>
        </w:rPr>
        <w:t xml:space="preserve">interested in receiving services through MDCP. </w:t>
      </w:r>
    </w:p>
    <w:p w14:paraId="0B773341"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(1) A person may request that an individual's name be added to the MDCP interest list by: </w:t>
      </w:r>
    </w:p>
    <w:p w14:paraId="76F60CC4" w14:textId="49BD824C"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calling HHSC toll-free 877-438-5658; </w:t>
      </w:r>
    </w:p>
    <w:p w14:paraId="5854B855"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submitting a written request to HHSC; or </w:t>
      </w:r>
    </w:p>
    <w:p w14:paraId="45307BE8"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(C) generating a referral through the YourTexasBenefits.com, Find Support Services screening and referral tool. </w:t>
      </w:r>
    </w:p>
    <w:p w14:paraId="700E43C0" w14:textId="3AC8C792"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(2) If a request is made </w:t>
      </w:r>
      <w:r w:rsidR="00424E0A">
        <w:rPr>
          <w:color w:val="auto"/>
          <w:sz w:val="24"/>
          <w:szCs w:val="24"/>
        </w:rPr>
        <w:t>per</w:t>
      </w:r>
      <w:r w:rsidRPr="00DB7DE6">
        <w:rPr>
          <w:color w:val="auto"/>
          <w:sz w:val="24"/>
          <w:szCs w:val="24"/>
        </w:rPr>
        <w:t xml:space="preserve"> </w:t>
      </w:r>
      <w:r w:rsidR="003A71E7" w:rsidRPr="00DB7DE6">
        <w:rPr>
          <w:color w:val="auto"/>
          <w:sz w:val="24"/>
          <w:szCs w:val="24"/>
        </w:rPr>
        <w:t>the above</w:t>
      </w:r>
      <w:r w:rsidRPr="00DB7DE6">
        <w:rPr>
          <w:color w:val="auto"/>
          <w:sz w:val="24"/>
          <w:szCs w:val="24"/>
        </w:rPr>
        <w:t xml:space="preserve"> subsection, HHSC adds </w:t>
      </w:r>
      <w:r w:rsidR="00FD2328">
        <w:rPr>
          <w:color w:val="auto"/>
          <w:sz w:val="24"/>
          <w:szCs w:val="24"/>
        </w:rPr>
        <w:t>the</w:t>
      </w:r>
      <w:r w:rsidR="00FD2328" w:rsidRPr="00DB7DE6">
        <w:rPr>
          <w:color w:val="auto"/>
          <w:sz w:val="24"/>
          <w:szCs w:val="24"/>
        </w:rPr>
        <w:t xml:space="preserve"> </w:t>
      </w:r>
      <w:r w:rsidR="00FD2328">
        <w:rPr>
          <w:color w:val="auto"/>
          <w:sz w:val="24"/>
          <w:szCs w:val="24"/>
        </w:rPr>
        <w:t>person</w:t>
      </w:r>
      <w:r w:rsidR="00FD2328" w:rsidRPr="00DB7DE6">
        <w:rPr>
          <w:color w:val="auto"/>
          <w:sz w:val="24"/>
          <w:szCs w:val="24"/>
        </w:rPr>
        <w:t xml:space="preserve">’s </w:t>
      </w:r>
      <w:r w:rsidRPr="00DB7DE6">
        <w:rPr>
          <w:color w:val="auto"/>
          <w:sz w:val="24"/>
          <w:szCs w:val="24"/>
        </w:rPr>
        <w:t xml:space="preserve">name to the MDCP interest list: </w:t>
      </w:r>
    </w:p>
    <w:p w14:paraId="6E4A2019" w14:textId="439CF372"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if the </w:t>
      </w:r>
      <w:r w:rsidR="00FD2328">
        <w:rPr>
          <w:color w:val="auto"/>
          <w:sz w:val="24"/>
          <w:szCs w:val="24"/>
        </w:rPr>
        <w:t>person</w:t>
      </w:r>
      <w:r w:rsidR="00FD2328" w:rsidRPr="00DB7DE6">
        <w:rPr>
          <w:color w:val="auto"/>
          <w:sz w:val="24"/>
          <w:szCs w:val="24"/>
        </w:rPr>
        <w:t xml:space="preserve"> </w:t>
      </w:r>
      <w:r w:rsidRPr="00DB7DE6">
        <w:rPr>
          <w:color w:val="auto"/>
          <w:sz w:val="24"/>
          <w:szCs w:val="24"/>
        </w:rPr>
        <w:t xml:space="preserve">is a Texas resident; and </w:t>
      </w:r>
    </w:p>
    <w:p w14:paraId="2CBE48F5"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using the date HHSC receives the request as the MDCP interest list date. </w:t>
      </w:r>
    </w:p>
    <w:p w14:paraId="1B01ABCF" w14:textId="0DF40F31"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(3) For </w:t>
      </w:r>
      <w:r w:rsidR="00FD2328">
        <w:rPr>
          <w:color w:val="auto"/>
          <w:sz w:val="24"/>
          <w:szCs w:val="24"/>
        </w:rPr>
        <w:t>a</w:t>
      </w:r>
      <w:r w:rsidR="00FD2328" w:rsidRPr="00DB7DE6">
        <w:rPr>
          <w:color w:val="auto"/>
          <w:sz w:val="24"/>
          <w:szCs w:val="24"/>
        </w:rPr>
        <w:t xml:space="preserve"> </w:t>
      </w:r>
      <w:r w:rsidR="00FD2328">
        <w:rPr>
          <w:color w:val="auto"/>
          <w:sz w:val="24"/>
          <w:szCs w:val="24"/>
        </w:rPr>
        <w:t>person</w:t>
      </w:r>
      <w:r w:rsidR="00FD2328" w:rsidRPr="00DB7DE6">
        <w:rPr>
          <w:color w:val="auto"/>
          <w:sz w:val="24"/>
          <w:szCs w:val="24"/>
        </w:rPr>
        <w:t xml:space="preserve"> </w:t>
      </w:r>
      <w:r w:rsidRPr="00DB7DE6">
        <w:rPr>
          <w:color w:val="auto"/>
          <w:sz w:val="24"/>
          <w:szCs w:val="24"/>
        </w:rPr>
        <w:t xml:space="preserve">determined diagnostically or functionally ineligible during the enrollment process for the CLASS Program, DBMD Program, HCS Program or TxHmL Program: </w:t>
      </w:r>
    </w:p>
    <w:p w14:paraId="2A28DEA5" w14:textId="3593EE9D"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if the </w:t>
      </w:r>
      <w:r w:rsidR="00090B32">
        <w:rPr>
          <w:color w:val="auto"/>
          <w:sz w:val="24"/>
          <w:szCs w:val="24"/>
        </w:rPr>
        <w:t>person’s</w:t>
      </w:r>
      <w:r w:rsidR="00090B32" w:rsidRPr="00DB7DE6">
        <w:rPr>
          <w:color w:val="auto"/>
          <w:sz w:val="24"/>
          <w:szCs w:val="24"/>
        </w:rPr>
        <w:t xml:space="preserve"> </w:t>
      </w:r>
      <w:r w:rsidRPr="00DB7DE6">
        <w:rPr>
          <w:color w:val="auto"/>
          <w:sz w:val="24"/>
          <w:szCs w:val="24"/>
        </w:rPr>
        <w:t xml:space="preserve">name is not on the MDCP interest list, at the request of the </w:t>
      </w:r>
      <w:r w:rsidR="00090B32">
        <w:rPr>
          <w:color w:val="auto"/>
          <w:sz w:val="24"/>
          <w:szCs w:val="24"/>
        </w:rPr>
        <w:t>person</w:t>
      </w:r>
      <w:r w:rsidR="00090B32" w:rsidRPr="00DB7DE6">
        <w:rPr>
          <w:color w:val="auto"/>
          <w:sz w:val="24"/>
          <w:szCs w:val="24"/>
        </w:rPr>
        <w:t xml:space="preserve"> </w:t>
      </w:r>
      <w:r w:rsidRPr="00DB7DE6">
        <w:rPr>
          <w:color w:val="auto"/>
          <w:sz w:val="24"/>
          <w:szCs w:val="24"/>
        </w:rPr>
        <w:t xml:space="preserve">or LAR, HHSC adds the </w:t>
      </w:r>
      <w:r w:rsidR="00090B32">
        <w:rPr>
          <w:color w:val="auto"/>
          <w:sz w:val="24"/>
          <w:szCs w:val="24"/>
        </w:rPr>
        <w:t>person’s</w:t>
      </w:r>
      <w:r w:rsidR="00090B32" w:rsidRPr="00DB7DE6">
        <w:rPr>
          <w:color w:val="auto"/>
          <w:sz w:val="24"/>
          <w:szCs w:val="24"/>
        </w:rPr>
        <w:t xml:space="preserve"> </w:t>
      </w:r>
      <w:r w:rsidRPr="00DB7DE6">
        <w:rPr>
          <w:color w:val="auto"/>
          <w:sz w:val="24"/>
          <w:szCs w:val="24"/>
        </w:rPr>
        <w:t xml:space="preserve">name to the MDCP interest list using </w:t>
      </w:r>
      <w:r w:rsidR="00090B32">
        <w:rPr>
          <w:color w:val="auto"/>
          <w:sz w:val="24"/>
          <w:szCs w:val="24"/>
        </w:rPr>
        <w:t>their</w:t>
      </w:r>
      <w:r w:rsidRPr="00DB7DE6">
        <w:rPr>
          <w:color w:val="auto"/>
          <w:sz w:val="24"/>
          <w:szCs w:val="24"/>
        </w:rPr>
        <w:t xml:space="preserve"> interest list date for the waiver program </w:t>
      </w:r>
      <w:r w:rsidR="00090B32">
        <w:rPr>
          <w:color w:val="auto"/>
          <w:sz w:val="24"/>
          <w:szCs w:val="24"/>
        </w:rPr>
        <w:t>that</w:t>
      </w:r>
      <w:r w:rsidRPr="00DB7DE6">
        <w:rPr>
          <w:color w:val="auto"/>
          <w:sz w:val="24"/>
          <w:szCs w:val="24"/>
        </w:rPr>
        <w:t xml:space="preserve"> the </w:t>
      </w:r>
      <w:r w:rsidR="00090B32">
        <w:rPr>
          <w:color w:val="auto"/>
          <w:sz w:val="24"/>
          <w:szCs w:val="24"/>
        </w:rPr>
        <w:t>person</w:t>
      </w:r>
      <w:r w:rsidR="00090B32" w:rsidRPr="00DB7DE6">
        <w:rPr>
          <w:color w:val="auto"/>
          <w:sz w:val="24"/>
          <w:szCs w:val="24"/>
        </w:rPr>
        <w:t xml:space="preserve"> </w:t>
      </w:r>
      <w:r w:rsidRPr="00DB7DE6">
        <w:rPr>
          <w:color w:val="auto"/>
          <w:sz w:val="24"/>
          <w:szCs w:val="24"/>
        </w:rPr>
        <w:t xml:space="preserve">was determined ineligible as the MDCP interest list date; </w:t>
      </w:r>
    </w:p>
    <w:p w14:paraId="7CF22D7D" w14:textId="17767533"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if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name is on the MDCP interest list and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interest list date for the waiver program </w:t>
      </w:r>
      <w:r w:rsidR="00090B32">
        <w:rPr>
          <w:color w:val="auto"/>
          <w:sz w:val="24"/>
          <w:szCs w:val="24"/>
        </w:rPr>
        <w:t>that</w:t>
      </w:r>
      <w:r w:rsidRPr="00DB7DE6">
        <w:rPr>
          <w:color w:val="auto"/>
          <w:sz w:val="24"/>
          <w:szCs w:val="24"/>
        </w:rPr>
        <w:t xml:space="preserve"> the </w:t>
      </w:r>
      <w:r w:rsidR="00090B32">
        <w:rPr>
          <w:color w:val="auto"/>
          <w:sz w:val="24"/>
          <w:szCs w:val="24"/>
        </w:rPr>
        <w:t>person</w:t>
      </w:r>
      <w:r w:rsidR="00090B32" w:rsidRPr="00DB7DE6">
        <w:rPr>
          <w:color w:val="auto"/>
          <w:sz w:val="24"/>
          <w:szCs w:val="24"/>
        </w:rPr>
        <w:t xml:space="preserve"> </w:t>
      </w:r>
      <w:r w:rsidRPr="00DB7DE6">
        <w:rPr>
          <w:color w:val="auto"/>
          <w:sz w:val="24"/>
          <w:szCs w:val="24"/>
        </w:rPr>
        <w:t xml:space="preserve">was determined ineligible is earlier than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MDCP interest list date, at the request of the </w:t>
      </w:r>
      <w:r w:rsidR="00090B32">
        <w:rPr>
          <w:color w:val="auto"/>
          <w:sz w:val="24"/>
          <w:szCs w:val="24"/>
        </w:rPr>
        <w:t>person</w:t>
      </w:r>
      <w:r w:rsidR="00090B32" w:rsidRPr="00DB7DE6">
        <w:rPr>
          <w:color w:val="auto"/>
          <w:sz w:val="24"/>
          <w:szCs w:val="24"/>
        </w:rPr>
        <w:t xml:space="preserve"> </w:t>
      </w:r>
      <w:r w:rsidRPr="00DB7DE6">
        <w:rPr>
          <w:color w:val="auto"/>
          <w:sz w:val="24"/>
          <w:szCs w:val="24"/>
        </w:rPr>
        <w:t xml:space="preserve">or LAR, HHSC changes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MDCP interest list date to </w:t>
      </w:r>
      <w:r w:rsidR="00090B32">
        <w:rPr>
          <w:color w:val="auto"/>
          <w:sz w:val="24"/>
          <w:szCs w:val="24"/>
        </w:rPr>
        <w:t>their</w:t>
      </w:r>
      <w:r w:rsidRPr="00DB7DE6">
        <w:rPr>
          <w:color w:val="auto"/>
          <w:sz w:val="24"/>
          <w:szCs w:val="24"/>
        </w:rPr>
        <w:t xml:space="preserve"> interest list date for the waiver program </w:t>
      </w:r>
      <w:r w:rsidR="00090B32">
        <w:rPr>
          <w:color w:val="auto"/>
          <w:sz w:val="24"/>
          <w:szCs w:val="24"/>
        </w:rPr>
        <w:t>that</w:t>
      </w:r>
      <w:r w:rsidRPr="00DB7DE6">
        <w:rPr>
          <w:color w:val="auto"/>
          <w:sz w:val="24"/>
          <w:szCs w:val="24"/>
        </w:rPr>
        <w:t xml:space="preserve"> the </w:t>
      </w:r>
      <w:r w:rsidR="00090B32">
        <w:rPr>
          <w:color w:val="auto"/>
          <w:sz w:val="24"/>
          <w:szCs w:val="24"/>
        </w:rPr>
        <w:t>person</w:t>
      </w:r>
      <w:r w:rsidR="00090B32" w:rsidRPr="00DB7DE6">
        <w:rPr>
          <w:color w:val="auto"/>
          <w:sz w:val="24"/>
          <w:szCs w:val="24"/>
        </w:rPr>
        <w:t xml:space="preserve"> </w:t>
      </w:r>
      <w:r w:rsidRPr="00DB7DE6">
        <w:rPr>
          <w:color w:val="auto"/>
          <w:sz w:val="24"/>
          <w:szCs w:val="24"/>
        </w:rPr>
        <w:t xml:space="preserve">was determined ineligible; or </w:t>
      </w:r>
    </w:p>
    <w:p w14:paraId="71C81489" w14:textId="425115E2"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(C) if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name is on the MDCP interest list and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MDCP interest list date is earlier than the </w:t>
      </w:r>
      <w:r w:rsidR="00090B32">
        <w:rPr>
          <w:color w:val="auto"/>
          <w:sz w:val="24"/>
          <w:szCs w:val="24"/>
        </w:rPr>
        <w:t>person’s</w:t>
      </w:r>
      <w:r w:rsidR="00090B32" w:rsidRPr="00DB7DE6" w:rsidDel="00090B32">
        <w:rPr>
          <w:color w:val="auto"/>
          <w:sz w:val="24"/>
          <w:szCs w:val="24"/>
        </w:rPr>
        <w:t xml:space="preserve"> </w:t>
      </w:r>
      <w:r w:rsidRPr="00DB7DE6">
        <w:rPr>
          <w:color w:val="auto"/>
          <w:sz w:val="24"/>
          <w:szCs w:val="24"/>
        </w:rPr>
        <w:t xml:space="preserve">interest list date for the waiver program </w:t>
      </w:r>
      <w:r w:rsidR="00090B32">
        <w:rPr>
          <w:color w:val="auto"/>
          <w:sz w:val="24"/>
          <w:szCs w:val="24"/>
        </w:rPr>
        <w:t>that</w:t>
      </w:r>
      <w:r w:rsidRPr="00DB7DE6">
        <w:rPr>
          <w:color w:val="auto"/>
          <w:sz w:val="24"/>
          <w:szCs w:val="24"/>
        </w:rPr>
        <w:t xml:space="preserve"> the </w:t>
      </w:r>
      <w:r w:rsidR="00090B32">
        <w:rPr>
          <w:color w:val="auto"/>
          <w:sz w:val="24"/>
          <w:szCs w:val="24"/>
        </w:rPr>
        <w:t>person</w:t>
      </w:r>
      <w:r w:rsidR="00090B32" w:rsidRPr="00DB7DE6">
        <w:rPr>
          <w:color w:val="auto"/>
          <w:sz w:val="24"/>
          <w:szCs w:val="24"/>
        </w:rPr>
        <w:t xml:space="preserve"> </w:t>
      </w:r>
      <w:r w:rsidRPr="00DB7DE6">
        <w:rPr>
          <w:color w:val="auto"/>
          <w:sz w:val="24"/>
          <w:szCs w:val="24"/>
        </w:rPr>
        <w:t xml:space="preserve">was determined ineligible, HHSC does not change the </w:t>
      </w:r>
      <w:r w:rsidR="00090B32">
        <w:rPr>
          <w:color w:val="auto"/>
          <w:sz w:val="24"/>
          <w:szCs w:val="24"/>
        </w:rPr>
        <w:t>person’s</w:t>
      </w:r>
      <w:r w:rsidRPr="00DB7DE6">
        <w:rPr>
          <w:color w:val="auto"/>
          <w:sz w:val="24"/>
          <w:szCs w:val="24"/>
        </w:rPr>
        <w:t xml:space="preserve"> MDCP interest list date.</w:t>
      </w:r>
    </w:p>
    <w:p w14:paraId="23C8BCFD" w14:textId="7991ECBF"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(4) This paragraph applies to </w:t>
      </w:r>
      <w:r w:rsidR="00772336">
        <w:rPr>
          <w:color w:val="auto"/>
          <w:sz w:val="24"/>
          <w:szCs w:val="24"/>
        </w:rPr>
        <w:t>a</w:t>
      </w:r>
      <w:r w:rsidR="00772336" w:rsidRPr="00DB7DE6">
        <w:rPr>
          <w:color w:val="auto"/>
          <w:sz w:val="24"/>
          <w:szCs w:val="24"/>
        </w:rPr>
        <w:t xml:space="preserve"> </w:t>
      </w:r>
      <w:r w:rsidR="00772336">
        <w:rPr>
          <w:color w:val="auto"/>
          <w:sz w:val="24"/>
          <w:szCs w:val="24"/>
        </w:rPr>
        <w:t>person</w:t>
      </w:r>
      <w:r w:rsidR="00772336" w:rsidRPr="00DB7DE6">
        <w:rPr>
          <w:color w:val="auto"/>
          <w:sz w:val="24"/>
          <w:szCs w:val="24"/>
        </w:rPr>
        <w:t xml:space="preserve"> </w:t>
      </w:r>
      <w:r w:rsidRPr="00DB7DE6">
        <w:rPr>
          <w:color w:val="auto"/>
          <w:sz w:val="24"/>
          <w:szCs w:val="24"/>
        </w:rPr>
        <w:t xml:space="preserve">who is enrolled in MDCP and, because the </w:t>
      </w:r>
      <w:r w:rsidR="00C75B32">
        <w:rPr>
          <w:color w:val="auto"/>
          <w:sz w:val="24"/>
          <w:szCs w:val="24"/>
        </w:rPr>
        <w:t>person</w:t>
      </w:r>
      <w:r w:rsidR="00C75B32" w:rsidRPr="00DB7DE6">
        <w:rPr>
          <w:color w:val="auto"/>
          <w:sz w:val="24"/>
          <w:szCs w:val="24"/>
        </w:rPr>
        <w:t xml:space="preserve"> </w:t>
      </w:r>
      <w:r w:rsidRPr="00DB7DE6">
        <w:rPr>
          <w:color w:val="auto"/>
          <w:sz w:val="24"/>
          <w:szCs w:val="24"/>
        </w:rPr>
        <w:t xml:space="preserve">does not meet the level of care criteria for medical necessity for </w:t>
      </w:r>
      <w:r w:rsidRPr="00DB7DE6">
        <w:rPr>
          <w:color w:val="auto"/>
          <w:sz w:val="24"/>
          <w:szCs w:val="24"/>
        </w:rPr>
        <w:lastRenderedPageBreak/>
        <w:t xml:space="preserve">nursing facility care, is determined ineligible for MDCP after </w:t>
      </w:r>
      <w:r w:rsidR="00C75B32" w:rsidRPr="00DB7DE6">
        <w:rPr>
          <w:color w:val="auto"/>
          <w:sz w:val="24"/>
          <w:szCs w:val="24"/>
        </w:rPr>
        <w:t>Nov</w:t>
      </w:r>
      <w:r w:rsidR="00C75B32">
        <w:rPr>
          <w:color w:val="auto"/>
          <w:sz w:val="24"/>
          <w:szCs w:val="24"/>
        </w:rPr>
        <w:t xml:space="preserve">. </w:t>
      </w:r>
      <w:r w:rsidRPr="00DB7DE6">
        <w:rPr>
          <w:color w:val="auto"/>
          <w:sz w:val="24"/>
          <w:szCs w:val="24"/>
        </w:rPr>
        <w:t xml:space="preserve">30, 2019. The </w:t>
      </w:r>
      <w:r w:rsidR="003F2834">
        <w:rPr>
          <w:color w:val="auto"/>
          <w:sz w:val="24"/>
          <w:szCs w:val="24"/>
        </w:rPr>
        <w:t>person</w:t>
      </w:r>
      <w:r w:rsidR="003F2834" w:rsidRPr="00DB7DE6">
        <w:rPr>
          <w:color w:val="auto"/>
          <w:sz w:val="24"/>
          <w:szCs w:val="24"/>
        </w:rPr>
        <w:t xml:space="preserve"> </w:t>
      </w:r>
      <w:r w:rsidRPr="00DB7DE6">
        <w:rPr>
          <w:color w:val="auto"/>
          <w:sz w:val="24"/>
          <w:szCs w:val="24"/>
        </w:rPr>
        <w:t xml:space="preserve">or the </w:t>
      </w:r>
      <w:r w:rsidR="003F2834">
        <w:rPr>
          <w:color w:val="auto"/>
          <w:sz w:val="24"/>
          <w:szCs w:val="24"/>
        </w:rPr>
        <w:t>person’s</w:t>
      </w:r>
      <w:r w:rsidR="003F2834" w:rsidRPr="00DB7DE6" w:rsidDel="003F2834">
        <w:rPr>
          <w:color w:val="auto"/>
          <w:sz w:val="24"/>
          <w:szCs w:val="24"/>
        </w:rPr>
        <w:t xml:space="preserve"> </w:t>
      </w:r>
      <w:r w:rsidRPr="00DB7DE6">
        <w:rPr>
          <w:color w:val="auto"/>
          <w:sz w:val="24"/>
          <w:szCs w:val="24"/>
        </w:rPr>
        <w:t xml:space="preserve">LAR may request one time that HHSC add the </w:t>
      </w:r>
      <w:r w:rsidR="003F2834">
        <w:rPr>
          <w:color w:val="auto"/>
          <w:sz w:val="24"/>
          <w:szCs w:val="24"/>
        </w:rPr>
        <w:t>person’s</w:t>
      </w:r>
      <w:r w:rsidR="003F2834" w:rsidRPr="00DB7DE6" w:rsidDel="003F2834">
        <w:rPr>
          <w:color w:val="auto"/>
          <w:sz w:val="24"/>
          <w:szCs w:val="24"/>
        </w:rPr>
        <w:t xml:space="preserve"> </w:t>
      </w:r>
      <w:r w:rsidRPr="00DB7DE6">
        <w:rPr>
          <w:color w:val="auto"/>
          <w:sz w:val="24"/>
          <w:szCs w:val="24"/>
        </w:rPr>
        <w:t xml:space="preserve">name to the first position on the MDCP interest list. </w:t>
      </w:r>
    </w:p>
    <w:p w14:paraId="6706FB11" w14:textId="749DDA11"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(5) This paragraph applies to </w:t>
      </w:r>
      <w:r w:rsidR="00E80A31">
        <w:rPr>
          <w:color w:val="auto"/>
          <w:sz w:val="24"/>
          <w:szCs w:val="24"/>
        </w:rPr>
        <w:t>a</w:t>
      </w:r>
      <w:r w:rsidR="00E80A31" w:rsidRPr="00DB7DE6">
        <w:rPr>
          <w:color w:val="auto"/>
          <w:sz w:val="24"/>
          <w:szCs w:val="24"/>
        </w:rPr>
        <w:t xml:space="preserve"> </w:t>
      </w:r>
      <w:r w:rsidR="00E80A31">
        <w:rPr>
          <w:color w:val="auto"/>
          <w:sz w:val="24"/>
          <w:szCs w:val="24"/>
        </w:rPr>
        <w:t>person</w:t>
      </w:r>
      <w:r w:rsidR="00E80A31" w:rsidRPr="00DB7DE6">
        <w:rPr>
          <w:color w:val="auto"/>
          <w:sz w:val="24"/>
          <w:szCs w:val="24"/>
        </w:rPr>
        <w:t xml:space="preserve"> </w:t>
      </w:r>
      <w:r w:rsidRPr="00DB7DE6">
        <w:rPr>
          <w:color w:val="auto"/>
          <w:sz w:val="24"/>
          <w:szCs w:val="24"/>
        </w:rPr>
        <w:t xml:space="preserve">who is enrolled in MDCP and, because the </w:t>
      </w:r>
      <w:r w:rsidR="00E80A31">
        <w:rPr>
          <w:color w:val="auto"/>
          <w:sz w:val="24"/>
          <w:szCs w:val="24"/>
        </w:rPr>
        <w:t>person</w:t>
      </w:r>
      <w:r w:rsidR="00E80A31" w:rsidRPr="00DB7DE6">
        <w:rPr>
          <w:color w:val="auto"/>
          <w:sz w:val="24"/>
          <w:szCs w:val="24"/>
        </w:rPr>
        <w:t xml:space="preserve"> </w:t>
      </w:r>
      <w:r w:rsidRPr="00DB7DE6">
        <w:rPr>
          <w:color w:val="auto"/>
          <w:sz w:val="24"/>
          <w:szCs w:val="24"/>
        </w:rPr>
        <w:t xml:space="preserve">does not meet the level of care criteria for medical necessity for nursing facility care or the requirement to be under 21 years </w:t>
      </w:r>
      <w:r w:rsidR="00E80A31">
        <w:rPr>
          <w:color w:val="auto"/>
          <w:sz w:val="24"/>
          <w:szCs w:val="24"/>
        </w:rPr>
        <w:t>old</w:t>
      </w:r>
      <w:r w:rsidRPr="00DB7DE6">
        <w:rPr>
          <w:color w:val="auto"/>
          <w:sz w:val="24"/>
          <w:szCs w:val="24"/>
        </w:rPr>
        <w:t xml:space="preserve">, is determined ineligible for MDCP after </w:t>
      </w:r>
      <w:r w:rsidR="00E80A31" w:rsidRPr="00DB7DE6">
        <w:rPr>
          <w:color w:val="auto"/>
          <w:sz w:val="24"/>
          <w:szCs w:val="24"/>
        </w:rPr>
        <w:t>Nov</w:t>
      </w:r>
      <w:r w:rsidR="00E80A31">
        <w:rPr>
          <w:color w:val="auto"/>
          <w:sz w:val="24"/>
          <w:szCs w:val="24"/>
        </w:rPr>
        <w:t>.</w:t>
      </w:r>
      <w:r w:rsidR="00E80A31" w:rsidRPr="00DB7DE6">
        <w:rPr>
          <w:color w:val="auto"/>
          <w:sz w:val="24"/>
          <w:szCs w:val="24"/>
        </w:rPr>
        <w:t xml:space="preserve"> </w:t>
      </w:r>
      <w:r w:rsidRPr="00DB7DE6">
        <w:rPr>
          <w:color w:val="auto"/>
          <w:sz w:val="24"/>
          <w:szCs w:val="24"/>
        </w:rPr>
        <w:t xml:space="preserve">30. The </w:t>
      </w:r>
      <w:r w:rsidR="00E80A31">
        <w:rPr>
          <w:color w:val="auto"/>
          <w:sz w:val="24"/>
          <w:szCs w:val="24"/>
        </w:rPr>
        <w:t>person</w:t>
      </w:r>
      <w:r w:rsidR="00E80A31" w:rsidRPr="00DB7DE6">
        <w:rPr>
          <w:color w:val="auto"/>
          <w:sz w:val="24"/>
          <w:szCs w:val="24"/>
        </w:rPr>
        <w:t xml:space="preserve"> </w:t>
      </w:r>
      <w:r w:rsidRPr="00DB7DE6">
        <w:rPr>
          <w:color w:val="auto"/>
          <w:sz w:val="24"/>
          <w:szCs w:val="24"/>
        </w:rPr>
        <w:t>or the</w:t>
      </w:r>
      <w:r w:rsidR="00E80A31">
        <w:rPr>
          <w:color w:val="auto"/>
          <w:sz w:val="24"/>
          <w:szCs w:val="24"/>
        </w:rPr>
        <w:t>ir</w:t>
      </w:r>
      <w:r w:rsidRPr="00DB7DE6">
        <w:rPr>
          <w:color w:val="auto"/>
          <w:sz w:val="24"/>
          <w:szCs w:val="24"/>
        </w:rPr>
        <w:t xml:space="preserve"> LAR may request that HHSC add the </w:t>
      </w:r>
      <w:r w:rsidR="00E80A31">
        <w:rPr>
          <w:color w:val="auto"/>
          <w:sz w:val="24"/>
          <w:szCs w:val="24"/>
        </w:rPr>
        <w:t>person’s</w:t>
      </w:r>
      <w:r w:rsidR="00E80A31" w:rsidRPr="00DB7DE6" w:rsidDel="00E80A31">
        <w:rPr>
          <w:color w:val="auto"/>
          <w:sz w:val="24"/>
          <w:szCs w:val="24"/>
        </w:rPr>
        <w:t xml:space="preserve"> </w:t>
      </w:r>
      <w:r w:rsidRPr="00DB7DE6">
        <w:rPr>
          <w:color w:val="auto"/>
          <w:sz w:val="24"/>
          <w:szCs w:val="24"/>
        </w:rPr>
        <w:t xml:space="preserve">name to the interest list for any of the following programs or change the </w:t>
      </w:r>
      <w:r w:rsidR="00E80A31">
        <w:rPr>
          <w:color w:val="auto"/>
          <w:sz w:val="24"/>
          <w:szCs w:val="24"/>
        </w:rPr>
        <w:t>person’s</w:t>
      </w:r>
      <w:r w:rsidR="00E80A31" w:rsidRPr="00DB7DE6" w:rsidDel="00E80A31">
        <w:rPr>
          <w:color w:val="auto"/>
          <w:sz w:val="24"/>
          <w:szCs w:val="24"/>
        </w:rPr>
        <w:t xml:space="preserve"> </w:t>
      </w:r>
      <w:r w:rsidRPr="00DB7DE6">
        <w:rPr>
          <w:color w:val="auto"/>
          <w:sz w:val="24"/>
          <w:szCs w:val="24"/>
        </w:rPr>
        <w:t xml:space="preserve">interest list date for any of the following programs </w:t>
      </w:r>
      <w:r w:rsidR="00E80A31">
        <w:rPr>
          <w:color w:val="auto"/>
          <w:sz w:val="24"/>
          <w:szCs w:val="24"/>
        </w:rPr>
        <w:t>per</w:t>
      </w:r>
      <w:r w:rsidRPr="00DB7DE6">
        <w:rPr>
          <w:color w:val="auto"/>
          <w:sz w:val="24"/>
          <w:szCs w:val="24"/>
        </w:rPr>
        <w:t xml:space="preserve">: </w:t>
      </w:r>
    </w:p>
    <w:p w14:paraId="11DAAE1E" w14:textId="66C3B3BC"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40 TAC </w:t>
      </w:r>
      <w:r w:rsidR="00E80A31">
        <w:rPr>
          <w:color w:val="auto"/>
          <w:sz w:val="24"/>
          <w:szCs w:val="24"/>
        </w:rPr>
        <w:t xml:space="preserve">Section </w:t>
      </w:r>
      <w:r w:rsidRPr="00DB7DE6">
        <w:rPr>
          <w:color w:val="auto"/>
          <w:sz w:val="24"/>
          <w:szCs w:val="24"/>
        </w:rPr>
        <w:t xml:space="preserve">45.202 (relating to CLASS Interest List) for the CLASS Program; </w:t>
      </w:r>
    </w:p>
    <w:p w14:paraId="0D5680CE" w14:textId="7CD33359"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40 TAC </w:t>
      </w:r>
      <w:r w:rsidR="00E80A31">
        <w:rPr>
          <w:color w:val="auto"/>
          <w:sz w:val="24"/>
          <w:szCs w:val="24"/>
        </w:rPr>
        <w:t xml:space="preserve">Section </w:t>
      </w:r>
      <w:r w:rsidRPr="00DB7DE6">
        <w:rPr>
          <w:color w:val="auto"/>
          <w:sz w:val="24"/>
          <w:szCs w:val="24"/>
        </w:rPr>
        <w:t xml:space="preserve">42.202 (relating to DBMD Interest List) for the DBMD Program; </w:t>
      </w:r>
    </w:p>
    <w:p w14:paraId="4A981263" w14:textId="4D65C76E"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(C) 40 TAC </w:t>
      </w:r>
      <w:r w:rsidR="00E80A31">
        <w:rPr>
          <w:color w:val="auto"/>
          <w:sz w:val="24"/>
          <w:szCs w:val="24"/>
        </w:rPr>
        <w:t xml:space="preserve">Section </w:t>
      </w:r>
      <w:r w:rsidRPr="00DB7DE6">
        <w:rPr>
          <w:color w:val="auto"/>
          <w:sz w:val="24"/>
          <w:szCs w:val="24"/>
        </w:rPr>
        <w:t xml:space="preserve">9.157 (relating to HCS Interest List) for the HCS Program; and </w:t>
      </w:r>
    </w:p>
    <w:p w14:paraId="4706389B" w14:textId="54A0A89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(D) 40 TAC </w:t>
      </w:r>
      <w:r w:rsidR="00E80A31">
        <w:rPr>
          <w:color w:val="auto"/>
          <w:sz w:val="24"/>
          <w:szCs w:val="24"/>
        </w:rPr>
        <w:t xml:space="preserve">Section </w:t>
      </w:r>
      <w:r w:rsidRPr="00DB7DE6">
        <w:rPr>
          <w:color w:val="auto"/>
          <w:sz w:val="24"/>
          <w:szCs w:val="24"/>
        </w:rPr>
        <w:t xml:space="preserve">9.566 (relating to TxHmL Interest List) for the TxHmL Program. </w:t>
      </w:r>
    </w:p>
    <w:p w14:paraId="54B66793" w14:textId="25382B76"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(6) HHSC removes </w:t>
      </w:r>
      <w:r w:rsidR="00E80A31">
        <w:rPr>
          <w:color w:val="auto"/>
          <w:sz w:val="24"/>
          <w:szCs w:val="24"/>
        </w:rPr>
        <w:t>a</w:t>
      </w:r>
      <w:r w:rsidR="00E80A31" w:rsidRPr="00DB7DE6">
        <w:rPr>
          <w:color w:val="auto"/>
          <w:sz w:val="24"/>
          <w:szCs w:val="24"/>
        </w:rPr>
        <w:t xml:space="preserve"> </w:t>
      </w:r>
      <w:r w:rsidR="00E80A31">
        <w:rPr>
          <w:color w:val="auto"/>
          <w:sz w:val="24"/>
          <w:szCs w:val="24"/>
        </w:rPr>
        <w:t>person’s</w:t>
      </w:r>
      <w:r w:rsidR="00E80A31" w:rsidRPr="00DB7DE6" w:rsidDel="00E80A31">
        <w:rPr>
          <w:color w:val="auto"/>
          <w:sz w:val="24"/>
          <w:szCs w:val="24"/>
        </w:rPr>
        <w:t xml:space="preserve"> </w:t>
      </w:r>
      <w:r w:rsidRPr="00DB7DE6">
        <w:rPr>
          <w:color w:val="auto"/>
          <w:sz w:val="24"/>
          <w:szCs w:val="24"/>
        </w:rPr>
        <w:t xml:space="preserve">name from the MDCP interest list if: </w:t>
      </w:r>
    </w:p>
    <w:p w14:paraId="74B0675D" w14:textId="76E81CB0"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the </w:t>
      </w:r>
      <w:r w:rsidR="00E80A31">
        <w:rPr>
          <w:color w:val="auto"/>
          <w:sz w:val="24"/>
          <w:szCs w:val="24"/>
        </w:rPr>
        <w:t>person</w:t>
      </w:r>
      <w:r w:rsidR="00E80A31" w:rsidRPr="00DB7DE6">
        <w:rPr>
          <w:color w:val="auto"/>
          <w:sz w:val="24"/>
          <w:szCs w:val="24"/>
        </w:rPr>
        <w:t xml:space="preserve"> </w:t>
      </w:r>
      <w:r w:rsidRPr="00DB7DE6">
        <w:rPr>
          <w:color w:val="auto"/>
          <w:sz w:val="24"/>
          <w:szCs w:val="24"/>
        </w:rPr>
        <w:t xml:space="preserve">is deceased; </w:t>
      </w:r>
    </w:p>
    <w:p w14:paraId="2E7A4961" w14:textId="6E088D22"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the </w:t>
      </w:r>
      <w:r w:rsidR="00E80A31">
        <w:rPr>
          <w:color w:val="auto"/>
          <w:sz w:val="24"/>
          <w:szCs w:val="24"/>
        </w:rPr>
        <w:t>person</w:t>
      </w:r>
      <w:r w:rsidR="00E80A31" w:rsidRPr="00DB7DE6">
        <w:rPr>
          <w:color w:val="auto"/>
          <w:sz w:val="24"/>
          <w:szCs w:val="24"/>
        </w:rPr>
        <w:t xml:space="preserve"> </w:t>
      </w:r>
      <w:r w:rsidRPr="00DB7DE6">
        <w:rPr>
          <w:color w:val="auto"/>
          <w:sz w:val="24"/>
          <w:szCs w:val="24"/>
        </w:rPr>
        <w:t xml:space="preserve">is assessed for MDCP and determined to be ineligible and has had an opportunity to exercise </w:t>
      </w:r>
      <w:r w:rsidR="00E80A31">
        <w:rPr>
          <w:color w:val="auto"/>
          <w:sz w:val="24"/>
          <w:szCs w:val="24"/>
        </w:rPr>
        <w:t>their</w:t>
      </w:r>
      <w:r w:rsidRPr="00DB7DE6">
        <w:rPr>
          <w:color w:val="auto"/>
          <w:sz w:val="24"/>
          <w:szCs w:val="24"/>
        </w:rPr>
        <w:t xml:space="preserve"> right to a fair hearing, as described in Chapter 357 of this title (relating to Hearings); </w:t>
      </w:r>
    </w:p>
    <w:p w14:paraId="245DEBFA" w14:textId="52114845"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(C) the </w:t>
      </w:r>
      <w:r w:rsidR="00E80A31">
        <w:rPr>
          <w:color w:val="auto"/>
          <w:sz w:val="24"/>
          <w:szCs w:val="24"/>
        </w:rPr>
        <w:t>person</w:t>
      </w:r>
      <w:r w:rsidRPr="00DB7DE6">
        <w:rPr>
          <w:color w:val="auto"/>
          <w:sz w:val="24"/>
          <w:szCs w:val="24"/>
        </w:rPr>
        <w:t xml:space="preserve">, medical consenter, or LAR requests in writing that the </w:t>
      </w:r>
      <w:r w:rsidR="00E80A31">
        <w:rPr>
          <w:color w:val="auto"/>
          <w:sz w:val="24"/>
          <w:szCs w:val="24"/>
        </w:rPr>
        <w:t>person’s</w:t>
      </w:r>
      <w:r w:rsidR="00E80A31" w:rsidRPr="00DB7DE6" w:rsidDel="00E80A31">
        <w:rPr>
          <w:color w:val="auto"/>
          <w:sz w:val="24"/>
          <w:szCs w:val="24"/>
        </w:rPr>
        <w:t xml:space="preserve"> </w:t>
      </w:r>
      <w:r w:rsidRPr="00DB7DE6">
        <w:rPr>
          <w:color w:val="auto"/>
          <w:sz w:val="24"/>
          <w:szCs w:val="24"/>
        </w:rPr>
        <w:t xml:space="preserve">name be removed from the interest list; or </w:t>
      </w:r>
    </w:p>
    <w:p w14:paraId="42329236" w14:textId="5B77EFDE"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(D) the </w:t>
      </w:r>
      <w:r w:rsidR="00E80A31">
        <w:rPr>
          <w:color w:val="auto"/>
          <w:sz w:val="24"/>
          <w:szCs w:val="24"/>
        </w:rPr>
        <w:t>person</w:t>
      </w:r>
      <w:r w:rsidR="00E80A31" w:rsidRPr="00DB7DE6">
        <w:rPr>
          <w:color w:val="auto"/>
          <w:sz w:val="24"/>
          <w:szCs w:val="24"/>
        </w:rPr>
        <w:t xml:space="preserve"> </w:t>
      </w:r>
      <w:r w:rsidRPr="00DB7DE6">
        <w:rPr>
          <w:color w:val="auto"/>
          <w:sz w:val="24"/>
          <w:szCs w:val="24"/>
        </w:rPr>
        <w:t xml:space="preserve">moves out of Texas, unless the </w:t>
      </w:r>
      <w:r w:rsidR="00E80A31">
        <w:rPr>
          <w:color w:val="auto"/>
          <w:sz w:val="24"/>
          <w:szCs w:val="24"/>
        </w:rPr>
        <w:t>person</w:t>
      </w:r>
      <w:r w:rsidR="00E80A31" w:rsidRPr="00DB7DE6">
        <w:rPr>
          <w:color w:val="auto"/>
          <w:sz w:val="24"/>
          <w:szCs w:val="24"/>
        </w:rPr>
        <w:t xml:space="preserve"> </w:t>
      </w:r>
      <w:r w:rsidRPr="00DB7DE6">
        <w:rPr>
          <w:color w:val="auto"/>
          <w:sz w:val="24"/>
          <w:szCs w:val="24"/>
        </w:rPr>
        <w:t xml:space="preserve">is a military family member living outside of Texas as described in Texas Government Code </w:t>
      </w:r>
      <w:r w:rsidR="00E80A31">
        <w:rPr>
          <w:color w:val="auto"/>
          <w:sz w:val="24"/>
          <w:szCs w:val="24"/>
        </w:rPr>
        <w:t xml:space="preserve">Section </w:t>
      </w:r>
      <w:r w:rsidRPr="00DB7DE6">
        <w:rPr>
          <w:color w:val="auto"/>
          <w:sz w:val="24"/>
          <w:szCs w:val="24"/>
        </w:rPr>
        <w:t xml:space="preserve">531.0931: </w:t>
      </w:r>
    </w:p>
    <w:p w14:paraId="29200AE5"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 while the military member is on active duty; or </w:t>
      </w:r>
    </w:p>
    <w:p w14:paraId="4D4EAE89"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(ii) for less than one year after the former military member's active duty ends. </w:t>
      </w:r>
    </w:p>
    <w:p w14:paraId="5E8A9236" w14:textId="77829F1D"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(7) </w:t>
      </w:r>
      <w:r w:rsidR="0054217F">
        <w:rPr>
          <w:color w:val="auto"/>
          <w:sz w:val="24"/>
          <w:szCs w:val="24"/>
        </w:rPr>
        <w:t>A</w:t>
      </w:r>
      <w:r w:rsidR="0054217F" w:rsidRPr="00DB7DE6">
        <w:rPr>
          <w:color w:val="auto"/>
          <w:sz w:val="24"/>
          <w:szCs w:val="24"/>
        </w:rPr>
        <w:t xml:space="preserve"> </w:t>
      </w:r>
      <w:r w:rsidR="0054217F">
        <w:rPr>
          <w:color w:val="auto"/>
          <w:sz w:val="24"/>
          <w:szCs w:val="24"/>
        </w:rPr>
        <w:t>person</w:t>
      </w:r>
      <w:r w:rsidR="0054217F" w:rsidRPr="00DB7DE6">
        <w:rPr>
          <w:color w:val="auto"/>
          <w:sz w:val="24"/>
          <w:szCs w:val="24"/>
        </w:rPr>
        <w:t xml:space="preserve"> </w:t>
      </w:r>
      <w:r w:rsidRPr="00DB7DE6">
        <w:rPr>
          <w:color w:val="auto"/>
          <w:sz w:val="24"/>
          <w:szCs w:val="24"/>
        </w:rPr>
        <w:t xml:space="preserve">assessed for MCDP and determined to be ineligible, as described in paragraph (6)(B) of this subsection, may request to have the </w:t>
      </w:r>
      <w:r w:rsidR="0054217F">
        <w:rPr>
          <w:color w:val="auto"/>
          <w:sz w:val="24"/>
          <w:szCs w:val="24"/>
        </w:rPr>
        <w:t>person’s</w:t>
      </w:r>
      <w:r w:rsidR="0054217F" w:rsidRPr="00DB7DE6" w:rsidDel="0054217F">
        <w:rPr>
          <w:color w:val="auto"/>
          <w:sz w:val="24"/>
          <w:szCs w:val="24"/>
        </w:rPr>
        <w:t xml:space="preserve"> </w:t>
      </w:r>
      <w:r w:rsidRPr="00DB7DE6">
        <w:rPr>
          <w:color w:val="auto"/>
          <w:sz w:val="24"/>
          <w:szCs w:val="24"/>
        </w:rPr>
        <w:t xml:space="preserve">name added to the MDCP interest list as described in paragraph (1) of this subsection. </w:t>
      </w:r>
    </w:p>
    <w:p w14:paraId="051816A9"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lastRenderedPageBreak/>
        <w:t xml:space="preserve">(c) An MCO develops a person-centered individual service plan (ISP) for each member in MDCP, and all applicable documentation, as described in the STAR Kids Handbook and the Uniform Managed Care Manual (UMCM). </w:t>
      </w:r>
    </w:p>
    <w:p w14:paraId="0829FA3C"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(1) An ISP must: </w:t>
      </w:r>
    </w:p>
    <w:p w14:paraId="4D71830C"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(A) include services described in the waiver approved by CMS; </w:t>
      </w:r>
    </w:p>
    <w:p w14:paraId="16BD467E"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(B) include services necessary to protect a member’s health and welfare in the community; </w:t>
      </w:r>
    </w:p>
    <w:p w14:paraId="76460F29"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(C) include services that supplement rather than supplant the member’s natural supports and other non-Medicaid supports and services for which the member may be eligible; </w:t>
      </w:r>
    </w:p>
    <w:p w14:paraId="78C08B5B"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(D) include services designed to prevent the member’s admission to an institution; </w:t>
      </w:r>
    </w:p>
    <w:p w14:paraId="0DAF1ED1"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(E) include the most appropriate type and amount of services to meet the member’s needs in the community; </w:t>
      </w:r>
    </w:p>
    <w:p w14:paraId="123DFC0A"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(F) be reviewed and revised if the member’s needs or natural supports change or at the request of the member or LAR; and </w:t>
      </w:r>
    </w:p>
    <w:p w14:paraId="6EFAC360"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(G) be cost effective. </w:t>
      </w:r>
    </w:p>
    <w:p w14:paraId="25263F79"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(2) If a member’s ISP exceeds 50 percent of the cost of the member’s level of care in a nursing facility to safely serve the member’s needs in the community, HHSC must review the circumstances and, when approved, provide funds through general revenue. </w:t>
      </w:r>
    </w:p>
    <w:p w14:paraId="475DD9B3"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(d) An MCO is responsible for conducting a reassessment and developing an ISP for each member’s continued eligibility for MDCP, in accordance with the policies and procedures outlined in the STAR Kids Handbook, UMCM, or materials designated by HHSC and in accordance with the timeframes outlined in the MCO's contract. </w:t>
      </w:r>
    </w:p>
    <w:p w14:paraId="76759293"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(e) An MCO is responsible for authorizing a provider of a member’s choice to deliver services outlined in the member’s ISP. </w:t>
      </w:r>
    </w:p>
    <w:p w14:paraId="1784F67C"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 xml:space="preserve">(f) A member participating in MDCP has the same rights and responsibilities as any member enrolled in managed care, as described in Subchapter C of this chapter (relating to Member Bill of Rights and Responsibilities), including the right to appeal a decision made by HHSC or an MCO and the right to a fair hearing, as described in Chapter 357 of this title. </w:t>
      </w:r>
    </w:p>
    <w:p w14:paraId="62F0A7DF" w14:textId="77777777" w:rsidR="004372BF" w:rsidRPr="00DB7DE6" w:rsidRDefault="004372BF" w:rsidP="004372BF">
      <w:pPr>
        <w:pStyle w:val="BodyText"/>
        <w:spacing w:before="0" w:line="240" w:lineRule="auto"/>
        <w:rPr>
          <w:color w:val="auto"/>
          <w:sz w:val="24"/>
          <w:szCs w:val="24"/>
        </w:rPr>
      </w:pPr>
      <w:r w:rsidRPr="00DB7DE6">
        <w:rPr>
          <w:color w:val="auto"/>
          <w:sz w:val="24"/>
          <w:szCs w:val="24"/>
        </w:rPr>
        <w:t>(g) HHSC conducts utilization reviews of MCOs providing MDCP services.</w:t>
      </w:r>
    </w:p>
    <w:p w14:paraId="4564F206" w14:textId="0C5277DD" w:rsidR="004372BF" w:rsidRPr="00DB7DE6" w:rsidRDefault="004372BF" w:rsidP="004372BF">
      <w:pPr>
        <w:pStyle w:val="BodyText"/>
        <w:spacing w:before="0" w:line="240" w:lineRule="auto"/>
        <w:rPr>
          <w:color w:val="auto"/>
          <w:sz w:val="24"/>
          <w:szCs w:val="24"/>
        </w:rPr>
      </w:pPr>
      <w:r w:rsidRPr="00DB7DE6">
        <w:rPr>
          <w:rFonts w:cs="Segoe UI"/>
          <w:color w:val="auto"/>
          <w:sz w:val="24"/>
          <w:szCs w:val="24"/>
          <w:lang w:val="en"/>
        </w:rPr>
        <w:lastRenderedPageBreak/>
        <w:t xml:space="preserve">Source Note: The provisions of this </w:t>
      </w:r>
      <w:r w:rsidR="0054217F">
        <w:rPr>
          <w:rFonts w:cs="Segoe UI"/>
          <w:color w:val="auto"/>
          <w:sz w:val="24"/>
          <w:szCs w:val="24"/>
          <w:lang w:val="en"/>
        </w:rPr>
        <w:t xml:space="preserve">Section </w:t>
      </w:r>
      <w:r w:rsidRPr="00DB7DE6">
        <w:rPr>
          <w:rFonts w:cs="Segoe UI"/>
          <w:color w:val="auto"/>
          <w:sz w:val="24"/>
          <w:szCs w:val="24"/>
          <w:lang w:val="en"/>
        </w:rPr>
        <w:t xml:space="preserve">353.1155 adopted to be effective </w:t>
      </w:r>
      <w:r w:rsidR="0054217F" w:rsidRPr="00DB7DE6">
        <w:rPr>
          <w:rFonts w:cs="Segoe UI"/>
          <w:color w:val="auto"/>
          <w:sz w:val="24"/>
          <w:szCs w:val="24"/>
          <w:lang w:val="en"/>
        </w:rPr>
        <w:t>Nov</w:t>
      </w:r>
      <w:r w:rsidR="0054217F">
        <w:rPr>
          <w:rFonts w:cs="Segoe UI"/>
          <w:color w:val="auto"/>
          <w:sz w:val="24"/>
          <w:szCs w:val="24"/>
          <w:lang w:val="en"/>
        </w:rPr>
        <w:t>.</w:t>
      </w:r>
      <w:r w:rsidR="0054217F" w:rsidRPr="00DB7DE6">
        <w:rPr>
          <w:rFonts w:cs="Segoe UI"/>
          <w:color w:val="auto"/>
          <w:sz w:val="24"/>
          <w:szCs w:val="24"/>
          <w:lang w:val="en"/>
        </w:rPr>
        <w:t xml:space="preserve"> </w:t>
      </w:r>
      <w:r w:rsidRPr="00DB7DE6">
        <w:rPr>
          <w:rFonts w:cs="Segoe UI"/>
          <w:color w:val="auto"/>
          <w:sz w:val="24"/>
          <w:szCs w:val="24"/>
          <w:lang w:val="en"/>
        </w:rPr>
        <w:t xml:space="preserve">1, 2016, 41 TexReg 8265; amended to be effective </w:t>
      </w:r>
      <w:r w:rsidR="0054217F" w:rsidRPr="00DB7DE6">
        <w:rPr>
          <w:rFonts w:cs="Segoe UI"/>
          <w:color w:val="auto"/>
          <w:sz w:val="24"/>
          <w:szCs w:val="24"/>
          <w:lang w:val="en"/>
        </w:rPr>
        <w:t>Feb</w:t>
      </w:r>
      <w:r w:rsidR="0054217F">
        <w:rPr>
          <w:rFonts w:cs="Segoe UI"/>
          <w:color w:val="auto"/>
          <w:sz w:val="24"/>
          <w:szCs w:val="24"/>
          <w:lang w:val="en"/>
        </w:rPr>
        <w:t>.</w:t>
      </w:r>
      <w:r w:rsidR="0054217F" w:rsidRPr="00DB7DE6">
        <w:rPr>
          <w:rFonts w:cs="Segoe UI"/>
          <w:color w:val="auto"/>
          <w:sz w:val="24"/>
          <w:szCs w:val="24"/>
          <w:lang w:val="en"/>
        </w:rPr>
        <w:t xml:space="preserve"> </w:t>
      </w:r>
      <w:r w:rsidRPr="00DB7DE6">
        <w:rPr>
          <w:rFonts w:cs="Segoe UI"/>
          <w:color w:val="auto"/>
          <w:sz w:val="24"/>
          <w:szCs w:val="24"/>
          <w:lang w:val="en"/>
        </w:rPr>
        <w:t>7, 2022, 47 TexReg 494</w:t>
      </w:r>
      <w:r w:rsidR="003A71E7" w:rsidRPr="00DB7DE6">
        <w:rPr>
          <w:rFonts w:cs="Segoe UI"/>
          <w:color w:val="auto"/>
          <w:sz w:val="24"/>
          <w:szCs w:val="24"/>
          <w:lang w:val="en"/>
        </w:rPr>
        <w:t>.</w:t>
      </w:r>
    </w:p>
    <w:sectPr w:rsidR="004372BF" w:rsidRPr="00DB7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3CDB53B6"/>
    <w:multiLevelType w:val="hybridMultilevel"/>
    <w:tmpl w:val="19F0612A"/>
    <w:lvl w:ilvl="0" w:tplc="9F760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24643"/>
    <w:multiLevelType w:val="hybridMultilevel"/>
    <w:tmpl w:val="6526C1D2"/>
    <w:lvl w:ilvl="0" w:tplc="8D429BB2">
      <w:start w:val="1"/>
      <w:numFmt w:val="decimal"/>
      <w:lvlText w:val="%1."/>
      <w:lvlJc w:val="left"/>
      <w:pPr>
        <w:ind w:left="1440" w:hanging="360"/>
      </w:pPr>
      <w:rPr>
        <w:rFonts w:asciiTheme="minorHAnsi" w:hAnsiTheme="minorHAnsi"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0A0D78"/>
    <w:multiLevelType w:val="multilevel"/>
    <w:tmpl w:val="26945B7E"/>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abstractNumId w:val="10"/>
  </w:num>
  <w:num w:numId="2">
    <w:abstractNumId w:val="10"/>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6"/>
  </w:num>
  <w:num w:numId="16">
    <w:abstractNumId w:val="16"/>
  </w:num>
  <w:num w:numId="17">
    <w:abstractNumId w:val="13"/>
  </w:num>
  <w:num w:numId="18">
    <w:abstractNumId w:val="16"/>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5"/>
  </w:num>
  <w:num w:numId="26">
    <w:abstractNumId w:val="16"/>
  </w:num>
  <w:num w:numId="27">
    <w:abstractNumId w:val="14"/>
  </w:num>
  <w:num w:numId="28">
    <w:abstractNumId w:val="13"/>
  </w:num>
  <w:num w:numId="29">
    <w:abstractNumId w:val="16"/>
  </w:num>
  <w:num w:numId="30">
    <w:abstractNumId w:val="15"/>
  </w:num>
  <w:num w:numId="31">
    <w:abstractNumId w:val="16"/>
  </w:num>
  <w:num w:numId="32">
    <w:abstractNumId w:val="14"/>
  </w:num>
  <w:num w:numId="33">
    <w:abstractNumId w:val="16"/>
  </w:num>
  <w:num w:numId="34">
    <w:abstractNumId w:val="13"/>
  </w:num>
  <w:num w:numId="35">
    <w:abstractNumId w:val="15"/>
  </w:num>
  <w:num w:numId="36">
    <w:abstractNumId w:val="16"/>
  </w:num>
  <w:num w:numId="37">
    <w:abstractNumId w:val="14"/>
  </w:num>
  <w:num w:numId="38">
    <w:abstractNumId w:val="1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74"/>
    <w:rsid w:val="00015723"/>
    <w:rsid w:val="00051D10"/>
    <w:rsid w:val="00086875"/>
    <w:rsid w:val="00090B32"/>
    <w:rsid w:val="000A686C"/>
    <w:rsid w:val="000B0315"/>
    <w:rsid w:val="00121D85"/>
    <w:rsid w:val="00143D54"/>
    <w:rsid w:val="00166857"/>
    <w:rsid w:val="0019695A"/>
    <w:rsid w:val="001C6029"/>
    <w:rsid w:val="001E7579"/>
    <w:rsid w:val="00266781"/>
    <w:rsid w:val="002C2D64"/>
    <w:rsid w:val="002D56A2"/>
    <w:rsid w:val="002F08D4"/>
    <w:rsid w:val="0032052B"/>
    <w:rsid w:val="0034030F"/>
    <w:rsid w:val="00345F8A"/>
    <w:rsid w:val="00392B47"/>
    <w:rsid w:val="00393903"/>
    <w:rsid w:val="00393D3E"/>
    <w:rsid w:val="003A2C00"/>
    <w:rsid w:val="003A71E7"/>
    <w:rsid w:val="003F1869"/>
    <w:rsid w:val="003F2834"/>
    <w:rsid w:val="00407BE6"/>
    <w:rsid w:val="00424E0A"/>
    <w:rsid w:val="004372BF"/>
    <w:rsid w:val="00441269"/>
    <w:rsid w:val="004654AE"/>
    <w:rsid w:val="00467816"/>
    <w:rsid w:val="0047366C"/>
    <w:rsid w:val="004A1A49"/>
    <w:rsid w:val="004B3E1A"/>
    <w:rsid w:val="004E024A"/>
    <w:rsid w:val="00526CA1"/>
    <w:rsid w:val="00530074"/>
    <w:rsid w:val="0054217F"/>
    <w:rsid w:val="005B630F"/>
    <w:rsid w:val="005C4E39"/>
    <w:rsid w:val="005C5388"/>
    <w:rsid w:val="005E65AD"/>
    <w:rsid w:val="005F6B5F"/>
    <w:rsid w:val="006316C5"/>
    <w:rsid w:val="006909E2"/>
    <w:rsid w:val="006D71AF"/>
    <w:rsid w:val="006F6C3B"/>
    <w:rsid w:val="007007DD"/>
    <w:rsid w:val="007051A3"/>
    <w:rsid w:val="00706746"/>
    <w:rsid w:val="007247A3"/>
    <w:rsid w:val="007255AC"/>
    <w:rsid w:val="00737AB4"/>
    <w:rsid w:val="00756408"/>
    <w:rsid w:val="00772336"/>
    <w:rsid w:val="007A221C"/>
    <w:rsid w:val="007B3AD0"/>
    <w:rsid w:val="007C4258"/>
    <w:rsid w:val="007D1B8A"/>
    <w:rsid w:val="007E6521"/>
    <w:rsid w:val="008335FC"/>
    <w:rsid w:val="00845480"/>
    <w:rsid w:val="00880813"/>
    <w:rsid w:val="0089319D"/>
    <w:rsid w:val="008B0B37"/>
    <w:rsid w:val="008B3310"/>
    <w:rsid w:val="00900A3C"/>
    <w:rsid w:val="009408CB"/>
    <w:rsid w:val="00941260"/>
    <w:rsid w:val="00943571"/>
    <w:rsid w:val="0096540E"/>
    <w:rsid w:val="00973878"/>
    <w:rsid w:val="00975001"/>
    <w:rsid w:val="009757A5"/>
    <w:rsid w:val="00987BDE"/>
    <w:rsid w:val="009E0AE4"/>
    <w:rsid w:val="00A25613"/>
    <w:rsid w:val="00A3795E"/>
    <w:rsid w:val="00A704D0"/>
    <w:rsid w:val="00A7390F"/>
    <w:rsid w:val="00A85EF7"/>
    <w:rsid w:val="00B01B26"/>
    <w:rsid w:val="00B353B1"/>
    <w:rsid w:val="00B63435"/>
    <w:rsid w:val="00B75990"/>
    <w:rsid w:val="00BA6C8F"/>
    <w:rsid w:val="00BF68E3"/>
    <w:rsid w:val="00C55B00"/>
    <w:rsid w:val="00C57FEA"/>
    <w:rsid w:val="00C75B32"/>
    <w:rsid w:val="00C904C9"/>
    <w:rsid w:val="00CA6447"/>
    <w:rsid w:val="00CD64A9"/>
    <w:rsid w:val="00D22700"/>
    <w:rsid w:val="00D32752"/>
    <w:rsid w:val="00D40BBC"/>
    <w:rsid w:val="00D90962"/>
    <w:rsid w:val="00DB7DE6"/>
    <w:rsid w:val="00E06C3D"/>
    <w:rsid w:val="00E24DB5"/>
    <w:rsid w:val="00E303D0"/>
    <w:rsid w:val="00E511A8"/>
    <w:rsid w:val="00E80A31"/>
    <w:rsid w:val="00E93DAE"/>
    <w:rsid w:val="00EF6E1E"/>
    <w:rsid w:val="00F06515"/>
    <w:rsid w:val="00F250AC"/>
    <w:rsid w:val="00F32BD0"/>
    <w:rsid w:val="00F42439"/>
    <w:rsid w:val="00F44533"/>
    <w:rsid w:val="00FC04BF"/>
    <w:rsid w:val="00FD2328"/>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2DF4"/>
  <w15:chartTrackingRefBased/>
  <w15:docId w15:val="{2F43B167-DB8D-4387-9347-C04196E1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2"/>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9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94"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9695A"/>
  </w:style>
  <w:style w:type="paragraph" w:styleId="Heading1">
    <w:name w:val="heading 1"/>
    <w:basedOn w:val="Normal"/>
    <w:next w:val="BodyText"/>
    <w:link w:val="Heading1Char"/>
    <w:uiPriority w:val="9"/>
    <w:qFormat/>
    <w:rsid w:val="007051A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BodyText"/>
    <w:link w:val="Heading2Char"/>
    <w:uiPriority w:val="9"/>
    <w:unhideWhenUsed/>
    <w:qFormat/>
    <w:rsid w:val="007051A3"/>
    <w:pPr>
      <w:keepNext/>
      <w:keepLines/>
      <w:spacing w:before="40"/>
      <w:outlineLvl w:val="1"/>
    </w:pPr>
    <w:rPr>
      <w:rFonts w:asciiTheme="majorHAnsi" w:eastAsiaTheme="majorEastAsia" w:hAnsiTheme="majorHAnsi" w:cstheme="majorBidi"/>
      <w:b/>
      <w:color w:val="022167" w:themeColor="text1"/>
      <w:sz w:val="26"/>
      <w:szCs w:val="26"/>
    </w:rPr>
  </w:style>
  <w:style w:type="paragraph" w:styleId="Heading3">
    <w:name w:val="heading 3"/>
    <w:basedOn w:val="Normal"/>
    <w:next w:val="BodyText"/>
    <w:link w:val="Heading3Char"/>
    <w:uiPriority w:val="9"/>
    <w:unhideWhenUsed/>
    <w:qFormat/>
    <w:rsid w:val="006D71AF"/>
    <w:pPr>
      <w:keepNext/>
      <w:keepLines/>
      <w:outlineLvl w:val="2"/>
    </w:pPr>
    <w:rPr>
      <w:rFonts w:asciiTheme="majorHAnsi" w:eastAsiaTheme="majorEastAsia" w:hAnsiTheme="majorHAnsi" w:cstheme="majorBidi"/>
      <w:color w:val="1A558D" w:themeColor="accent1" w:themeShade="7F"/>
      <w:sz w:val="24"/>
      <w:szCs w:val="24"/>
    </w:rPr>
  </w:style>
  <w:style w:type="paragraph" w:styleId="Heading4">
    <w:name w:val="heading 4"/>
    <w:basedOn w:val="Normal"/>
    <w:next w:val="Normal"/>
    <w:link w:val="Heading4Char"/>
    <w:uiPriority w:val="9"/>
    <w:unhideWhenUsed/>
    <w:qFormat/>
    <w:rsid w:val="007051A3"/>
    <w:pPr>
      <w:keepNext/>
      <w:keepLines/>
      <w:spacing w:before="40"/>
      <w:outlineLvl w:val="3"/>
    </w:pPr>
    <w:rPr>
      <w:rFonts w:asciiTheme="majorHAnsi" w:eastAsiaTheme="majorEastAsia" w:hAnsiTheme="majorHAnsi" w:cstheme="majorBidi"/>
      <w:i/>
      <w:iCs/>
      <w:color w:val="1A568E" w:themeColor="accent1" w:themeShade="80"/>
    </w:rPr>
  </w:style>
  <w:style w:type="paragraph" w:styleId="Heading5">
    <w:name w:val="heading 5"/>
    <w:basedOn w:val="Normal"/>
    <w:next w:val="BodyText"/>
    <w:link w:val="Heading5Char"/>
    <w:uiPriority w:val="9"/>
    <w:unhideWhenUsed/>
    <w:rsid w:val="007051A3"/>
    <w:pPr>
      <w:keepNext/>
      <w:keepLines/>
      <w:spacing w:before="40"/>
      <w:outlineLvl w:val="4"/>
    </w:pPr>
    <w:rPr>
      <w:rFonts w:asciiTheme="majorHAnsi" w:eastAsiaTheme="majorEastAsia" w:hAnsiTheme="majorHAnsi" w:cstheme="majorBidi"/>
      <w:color w:val="022167" w:themeColor="text1"/>
    </w:rPr>
  </w:style>
  <w:style w:type="paragraph" w:styleId="Heading6">
    <w:name w:val="heading 6"/>
    <w:basedOn w:val="Normal"/>
    <w:next w:val="Normal"/>
    <w:link w:val="Heading6Char"/>
    <w:uiPriority w:val="9"/>
    <w:semiHidden/>
    <w:rsid w:val="00973878"/>
    <w:pPr>
      <w:keepNext/>
      <w:keepLines/>
      <w:spacing w:before="40"/>
      <w:outlineLvl w:val="5"/>
    </w:pPr>
    <w:rPr>
      <w:rFonts w:asciiTheme="majorHAnsi" w:eastAsiaTheme="majorEastAsia" w:hAnsiTheme="majorHAnsi" w:cstheme="majorBidi"/>
      <w:color w:val="1A558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A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rsid w:val="007051A3"/>
    <w:rPr>
      <w:rFonts w:asciiTheme="majorHAnsi" w:eastAsiaTheme="majorEastAsia" w:hAnsiTheme="majorHAnsi" w:cstheme="majorBidi"/>
      <w:b/>
      <w:color w:val="022167" w:themeColor="text1"/>
      <w:sz w:val="26"/>
      <w:szCs w:val="26"/>
    </w:rPr>
  </w:style>
  <w:style w:type="character" w:customStyle="1" w:styleId="Heading3Char">
    <w:name w:val="Heading 3 Char"/>
    <w:basedOn w:val="DefaultParagraphFont"/>
    <w:link w:val="Heading3"/>
    <w:uiPriority w:val="9"/>
    <w:rsid w:val="006D71AF"/>
    <w:rPr>
      <w:rFonts w:asciiTheme="majorHAnsi" w:eastAsiaTheme="majorEastAsia" w:hAnsiTheme="majorHAnsi" w:cstheme="majorBidi"/>
      <w:color w:val="1A558D" w:themeColor="accent1" w:themeShade="7F"/>
      <w:sz w:val="24"/>
      <w:szCs w:val="24"/>
    </w:rPr>
  </w:style>
  <w:style w:type="character" w:customStyle="1" w:styleId="Heading5Char">
    <w:name w:val="Heading 5 Char"/>
    <w:basedOn w:val="DefaultParagraphFont"/>
    <w:link w:val="Heading5"/>
    <w:uiPriority w:val="9"/>
    <w:rsid w:val="007051A3"/>
    <w:rPr>
      <w:rFonts w:asciiTheme="majorHAnsi" w:eastAsiaTheme="majorEastAsia" w:hAnsiTheme="majorHAnsi" w:cstheme="majorBidi"/>
      <w:color w:val="022167" w:themeColor="text1"/>
    </w:rPr>
  </w:style>
  <w:style w:type="paragraph" w:styleId="CommentText">
    <w:name w:val="annotation text"/>
    <w:basedOn w:val="Normal"/>
    <w:link w:val="CommentTextChar"/>
    <w:uiPriority w:val="99"/>
    <w:semiHidden/>
    <w:rsid w:val="00266781"/>
    <w:pPr>
      <w:spacing w:line="240" w:lineRule="auto"/>
    </w:pPr>
    <w:rPr>
      <w:sz w:val="20"/>
      <w:szCs w:val="20"/>
    </w:rPr>
  </w:style>
  <w:style w:type="character" w:customStyle="1" w:styleId="CommentTextChar">
    <w:name w:val="Comment Text Char"/>
    <w:basedOn w:val="DefaultParagraphFont"/>
    <w:link w:val="CommentText"/>
    <w:uiPriority w:val="99"/>
    <w:semiHidden/>
    <w:rsid w:val="00B63435"/>
    <w:rPr>
      <w:sz w:val="20"/>
      <w:szCs w:val="20"/>
    </w:rPr>
  </w:style>
  <w:style w:type="paragraph" w:styleId="Header">
    <w:name w:val="header"/>
    <w:basedOn w:val="Normal"/>
    <w:link w:val="HeaderChar"/>
    <w:uiPriority w:val="39"/>
    <w:unhideWhenUsed/>
    <w:rsid w:val="00266781"/>
    <w:pPr>
      <w:tabs>
        <w:tab w:val="center" w:pos="4680"/>
        <w:tab w:val="right" w:pos="9360"/>
      </w:tabs>
      <w:spacing w:line="240" w:lineRule="auto"/>
    </w:pPr>
  </w:style>
  <w:style w:type="character" w:customStyle="1" w:styleId="HeaderChar">
    <w:name w:val="Header Char"/>
    <w:basedOn w:val="DefaultParagraphFont"/>
    <w:link w:val="Header"/>
    <w:uiPriority w:val="39"/>
    <w:rsid w:val="00B63435"/>
  </w:style>
  <w:style w:type="paragraph" w:styleId="Footer">
    <w:name w:val="footer"/>
    <w:basedOn w:val="Normal"/>
    <w:link w:val="FooterChar"/>
    <w:uiPriority w:val="39"/>
    <w:unhideWhenUsed/>
    <w:rsid w:val="00266781"/>
    <w:pPr>
      <w:tabs>
        <w:tab w:val="center" w:pos="4680"/>
        <w:tab w:val="right" w:pos="9360"/>
      </w:tabs>
      <w:spacing w:line="240" w:lineRule="auto"/>
    </w:pPr>
  </w:style>
  <w:style w:type="character" w:customStyle="1" w:styleId="FooterChar">
    <w:name w:val="Footer Char"/>
    <w:basedOn w:val="DefaultParagraphFont"/>
    <w:link w:val="Footer"/>
    <w:uiPriority w:val="39"/>
    <w:rsid w:val="00B63435"/>
  </w:style>
  <w:style w:type="character" w:styleId="CommentReference">
    <w:name w:val="annotation reference"/>
    <w:basedOn w:val="DefaultParagraphFont"/>
    <w:uiPriority w:val="99"/>
    <w:semiHidden/>
    <w:rsid w:val="00266781"/>
    <w:rPr>
      <w:sz w:val="16"/>
      <w:szCs w:val="16"/>
    </w:rPr>
  </w:style>
  <w:style w:type="paragraph" w:styleId="BodyText">
    <w:name w:val="Body Text"/>
    <w:basedOn w:val="Normal"/>
    <w:link w:val="BodyTextChar"/>
    <w:qFormat/>
    <w:rsid w:val="008B0B37"/>
    <w:pPr>
      <w:spacing w:before="160" w:after="160"/>
    </w:pPr>
  </w:style>
  <w:style w:type="character" w:customStyle="1" w:styleId="BodyTextChar">
    <w:name w:val="Body Text Char"/>
    <w:basedOn w:val="DefaultParagraphFont"/>
    <w:link w:val="BodyText"/>
    <w:rsid w:val="008B0B37"/>
  </w:style>
  <w:style w:type="paragraph" w:styleId="BodyTextIndent">
    <w:name w:val="Body Text Indent"/>
    <w:basedOn w:val="Normal"/>
    <w:link w:val="BodyTextIndentChar"/>
    <w:uiPriority w:val="99"/>
    <w:semiHidden/>
    <w:unhideWhenUsed/>
    <w:rsid w:val="003F1869"/>
    <w:pPr>
      <w:spacing w:after="120"/>
      <w:ind w:left="360"/>
    </w:pPr>
  </w:style>
  <w:style w:type="character" w:customStyle="1" w:styleId="BodyTextIndentChar">
    <w:name w:val="Body Text Indent Char"/>
    <w:basedOn w:val="DefaultParagraphFont"/>
    <w:link w:val="BodyTextIndent"/>
    <w:uiPriority w:val="99"/>
    <w:semiHidden/>
    <w:rsid w:val="003F1869"/>
    <w:rPr>
      <w:sz w:val="22"/>
      <w:szCs w:val="22"/>
    </w:rPr>
  </w:style>
  <w:style w:type="character" w:styleId="Hyperlink">
    <w:name w:val="Hyperlink"/>
    <w:uiPriority w:val="39"/>
    <w:unhideWhenUsed/>
    <w:rsid w:val="00FC04BF"/>
    <w:rPr>
      <w:color w:val="1058FA" w:themeColor="text1" w:themeTint="99"/>
      <w:u w:val="single"/>
    </w:rPr>
  </w:style>
  <w:style w:type="table" w:styleId="TableGrid">
    <w:name w:val="Table Grid"/>
    <w:basedOn w:val="TableNormal"/>
    <w:uiPriority w:val="39"/>
    <w:rsid w:val="00706746"/>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paragraph" w:styleId="CommentSubject">
    <w:name w:val="annotation subject"/>
    <w:basedOn w:val="CommentText"/>
    <w:next w:val="CommentText"/>
    <w:link w:val="CommentSubjectChar"/>
    <w:uiPriority w:val="99"/>
    <w:semiHidden/>
    <w:rsid w:val="00266781"/>
    <w:rPr>
      <w:b/>
      <w:bCs/>
    </w:rPr>
  </w:style>
  <w:style w:type="character" w:customStyle="1" w:styleId="CommentSubjectChar">
    <w:name w:val="Comment Subject Char"/>
    <w:basedOn w:val="CommentTextChar"/>
    <w:link w:val="CommentSubject"/>
    <w:uiPriority w:val="99"/>
    <w:semiHidden/>
    <w:rsid w:val="00B63435"/>
    <w:rPr>
      <w:b/>
      <w:bCs/>
      <w:sz w:val="20"/>
      <w:szCs w:val="20"/>
    </w:rPr>
  </w:style>
  <w:style w:type="character" w:customStyle="1" w:styleId="Heading4Char">
    <w:name w:val="Heading 4 Char"/>
    <w:basedOn w:val="DefaultParagraphFont"/>
    <w:link w:val="Heading4"/>
    <w:uiPriority w:val="9"/>
    <w:rsid w:val="007051A3"/>
    <w:rPr>
      <w:rFonts w:asciiTheme="majorHAnsi" w:eastAsiaTheme="majorEastAsia" w:hAnsiTheme="majorHAnsi" w:cstheme="majorBidi"/>
      <w:i/>
      <w:iCs/>
      <w:color w:val="1A568E" w:themeColor="accent1" w:themeShade="80"/>
    </w:rPr>
  </w:style>
  <w:style w:type="paragraph" w:styleId="List">
    <w:name w:val="List"/>
    <w:basedOn w:val="BodyText"/>
    <w:uiPriority w:val="99"/>
    <w:semiHidden/>
    <w:unhideWhenUsed/>
    <w:rsid w:val="003F1869"/>
    <w:pPr>
      <w:ind w:left="360" w:hanging="360"/>
      <w:contextualSpacing/>
    </w:pPr>
  </w:style>
  <w:style w:type="paragraph" w:styleId="BodyText2">
    <w:name w:val="Body Text 2"/>
    <w:basedOn w:val="Normal"/>
    <w:link w:val="BodyText2Char"/>
    <w:uiPriority w:val="99"/>
    <w:semiHidden/>
    <w:unhideWhenUsed/>
    <w:rsid w:val="003F1869"/>
    <w:pPr>
      <w:spacing w:after="120" w:line="480" w:lineRule="auto"/>
    </w:pPr>
  </w:style>
  <w:style w:type="character" w:customStyle="1" w:styleId="BodyText2Char">
    <w:name w:val="Body Text 2 Char"/>
    <w:basedOn w:val="DefaultParagraphFont"/>
    <w:link w:val="BodyText2"/>
    <w:uiPriority w:val="99"/>
    <w:semiHidden/>
    <w:rsid w:val="003F1869"/>
    <w:rPr>
      <w:sz w:val="22"/>
      <w:szCs w:val="22"/>
    </w:rPr>
  </w:style>
  <w:style w:type="paragraph" w:styleId="BodyText3">
    <w:name w:val="Body Text 3"/>
    <w:basedOn w:val="Normal"/>
    <w:link w:val="BodyText3Char"/>
    <w:uiPriority w:val="99"/>
    <w:semiHidden/>
    <w:unhideWhenUsed/>
    <w:rsid w:val="003F1869"/>
    <w:pPr>
      <w:spacing w:after="120"/>
    </w:pPr>
    <w:rPr>
      <w:sz w:val="16"/>
      <w:szCs w:val="16"/>
    </w:rPr>
  </w:style>
  <w:style w:type="character" w:customStyle="1" w:styleId="BodyText3Char">
    <w:name w:val="Body Text 3 Char"/>
    <w:basedOn w:val="DefaultParagraphFont"/>
    <w:link w:val="BodyText3"/>
    <w:uiPriority w:val="99"/>
    <w:semiHidden/>
    <w:rsid w:val="003F1869"/>
    <w:rPr>
      <w:sz w:val="16"/>
      <w:szCs w:val="16"/>
    </w:rPr>
  </w:style>
  <w:style w:type="paragraph" w:styleId="BalloonText">
    <w:name w:val="Balloon Text"/>
    <w:basedOn w:val="Normal"/>
    <w:link w:val="BalloonTextChar"/>
    <w:uiPriority w:val="99"/>
    <w:semiHidden/>
    <w:unhideWhenUsed/>
    <w:rsid w:val="003F1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69"/>
    <w:rPr>
      <w:rFonts w:ascii="Segoe UI" w:hAnsi="Segoe UI" w:cs="Segoe UI"/>
      <w:sz w:val="18"/>
      <w:szCs w:val="18"/>
    </w:rPr>
  </w:style>
  <w:style w:type="character" w:styleId="FollowedHyperlink">
    <w:name w:val="FollowedHyperlink"/>
    <w:uiPriority w:val="99"/>
    <w:semiHidden/>
    <w:unhideWhenUsed/>
    <w:rsid w:val="003F1869"/>
    <w:rPr>
      <w:color w:val="7D868C" w:themeColor="followedHyperlink"/>
      <w:u w:val="single"/>
    </w:rPr>
  </w:style>
  <w:style w:type="paragraph" w:styleId="ListBullet">
    <w:name w:val="List Bullet"/>
    <w:basedOn w:val="BodyText"/>
    <w:uiPriority w:val="3"/>
    <w:qFormat/>
    <w:rsid w:val="006D71AF"/>
    <w:pPr>
      <w:numPr>
        <w:numId w:val="36"/>
      </w:numPr>
      <w:spacing w:before="240" w:after="0" w:line="288" w:lineRule="auto"/>
      <w:contextualSpacing/>
    </w:pPr>
    <w:rPr>
      <w:rFonts w:cs="Calibri"/>
      <w:szCs w:val="20"/>
    </w:rPr>
  </w:style>
  <w:style w:type="numbering" w:customStyle="1" w:styleId="HHSBullets">
    <w:name w:val="HHS Bullets"/>
    <w:uiPriority w:val="99"/>
    <w:rsid w:val="00266781"/>
    <w:pPr>
      <w:numPr>
        <w:numId w:val="15"/>
      </w:numPr>
    </w:pPr>
  </w:style>
  <w:style w:type="numbering" w:customStyle="1" w:styleId="HHSNumbering">
    <w:name w:val="HHS Numbering"/>
    <w:uiPriority w:val="99"/>
    <w:rsid w:val="00A85EF7"/>
    <w:pPr>
      <w:numPr>
        <w:numId w:val="17"/>
      </w:numPr>
    </w:pPr>
  </w:style>
  <w:style w:type="paragraph" w:styleId="ListNumber">
    <w:name w:val="List Number"/>
    <w:basedOn w:val="BodyText"/>
    <w:uiPriority w:val="3"/>
    <w:qFormat/>
    <w:rsid w:val="006D71AF"/>
    <w:pPr>
      <w:numPr>
        <w:numId w:val="39"/>
      </w:numPr>
      <w:spacing w:before="240" w:after="0" w:line="288" w:lineRule="auto"/>
      <w:contextualSpacing/>
    </w:pPr>
    <w:rPr>
      <w:szCs w:val="20"/>
    </w:rPr>
  </w:style>
  <w:style w:type="paragraph" w:styleId="Title">
    <w:name w:val="Title"/>
    <w:basedOn w:val="Normal"/>
    <w:next w:val="Subtitle"/>
    <w:link w:val="TitleChar"/>
    <w:uiPriority w:val="28"/>
    <w:qFormat/>
    <w:rsid w:val="008B0B3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28"/>
    <w:rsid w:val="008B0B37"/>
    <w:rPr>
      <w:rFonts w:asciiTheme="majorHAnsi" w:eastAsiaTheme="majorEastAsia" w:hAnsiTheme="majorHAnsi" w:cstheme="majorBidi"/>
      <w:color w:val="auto"/>
      <w:spacing w:val="-10"/>
      <w:kern w:val="28"/>
      <w:sz w:val="56"/>
      <w:szCs w:val="56"/>
    </w:rPr>
  </w:style>
  <w:style w:type="paragraph" w:styleId="NoSpacing">
    <w:name w:val="No Spacing"/>
    <w:uiPriority w:val="99"/>
    <w:semiHidden/>
    <w:rsid w:val="00973878"/>
    <w:pPr>
      <w:spacing w:line="240" w:lineRule="auto"/>
    </w:pPr>
  </w:style>
  <w:style w:type="character" w:styleId="Strong">
    <w:name w:val="Strong"/>
    <w:uiPriority w:val="7"/>
    <w:qFormat/>
    <w:rsid w:val="006D71AF"/>
    <w:rPr>
      <w:b/>
      <w:bCs/>
    </w:rPr>
  </w:style>
  <w:style w:type="character" w:styleId="Emphasis">
    <w:name w:val="Emphasis"/>
    <w:uiPriority w:val="7"/>
    <w:qFormat/>
    <w:rsid w:val="006D71AF"/>
    <w:rPr>
      <w:i/>
      <w:iCs/>
    </w:rPr>
  </w:style>
  <w:style w:type="paragraph" w:styleId="ListParagraph">
    <w:name w:val="List Paragraph"/>
    <w:basedOn w:val="Normal"/>
    <w:uiPriority w:val="99"/>
    <w:rsid w:val="006D71AF"/>
    <w:pPr>
      <w:ind w:left="720"/>
      <w:contextualSpacing/>
    </w:pPr>
  </w:style>
  <w:style w:type="character" w:customStyle="1" w:styleId="Heading6Char">
    <w:name w:val="Heading 6 Char"/>
    <w:basedOn w:val="DefaultParagraphFont"/>
    <w:link w:val="Heading6"/>
    <w:uiPriority w:val="9"/>
    <w:semiHidden/>
    <w:rsid w:val="00973878"/>
    <w:rPr>
      <w:rFonts w:asciiTheme="majorHAnsi" w:eastAsiaTheme="majorEastAsia" w:hAnsiTheme="majorHAnsi" w:cstheme="majorBidi"/>
      <w:color w:val="1A558D" w:themeColor="accent1" w:themeShade="7F"/>
    </w:rPr>
  </w:style>
  <w:style w:type="paragraph" w:styleId="Subtitle">
    <w:name w:val="Subtitle"/>
    <w:basedOn w:val="Normal"/>
    <w:next w:val="BodyText"/>
    <w:link w:val="SubtitleChar"/>
    <w:uiPriority w:val="29"/>
    <w:qFormat/>
    <w:rsid w:val="008B0B37"/>
    <w:pPr>
      <w:numPr>
        <w:ilvl w:val="1"/>
      </w:numPr>
      <w:spacing w:after="160"/>
    </w:pPr>
    <w:rPr>
      <w:rFonts w:eastAsiaTheme="minorEastAsia"/>
      <w:color w:val="044DF2" w:themeColor="text1" w:themeTint="A5"/>
      <w:spacing w:val="15"/>
    </w:rPr>
  </w:style>
  <w:style w:type="character" w:customStyle="1" w:styleId="SubtitleChar">
    <w:name w:val="Subtitle Char"/>
    <w:basedOn w:val="DefaultParagraphFont"/>
    <w:link w:val="Subtitle"/>
    <w:uiPriority w:val="29"/>
    <w:rsid w:val="008B0B37"/>
    <w:rPr>
      <w:rFonts w:eastAsiaTheme="minorEastAsia"/>
      <w:color w:val="044DF2" w:themeColor="text1" w:themeTint="A5"/>
      <w:spacing w:val="15"/>
    </w:rPr>
  </w:style>
  <w:style w:type="paragraph" w:styleId="BlockText">
    <w:name w:val="Block Text"/>
    <w:basedOn w:val="Normal"/>
    <w:uiPriority w:val="99"/>
    <w:semiHidden/>
    <w:unhideWhenUsed/>
    <w:rsid w:val="008B0B37"/>
    <w:pPr>
      <w:pBdr>
        <w:top w:val="single" w:sz="4" w:space="10" w:color="2781D4" w:themeColor="accent1" w:themeShade="BF"/>
        <w:left w:val="single" w:sz="4" w:space="10" w:color="2781D4" w:themeColor="accent1" w:themeShade="BF"/>
        <w:bottom w:val="single" w:sz="36" w:space="10" w:color="2781D4" w:themeColor="accent1" w:themeShade="BF"/>
        <w:right w:val="single" w:sz="36" w:space="10" w:color="2781D4" w:themeColor="accent1" w:themeShade="BF"/>
      </w:pBdr>
      <w:spacing w:before="240" w:after="240"/>
      <w:ind w:left="1152" w:right="1152"/>
    </w:pPr>
    <w:rPr>
      <w:rFonts w:eastAsiaTheme="minorEastAsia"/>
      <w:iCs/>
      <w:color w:val="auto"/>
    </w:rPr>
  </w:style>
  <w:style w:type="paragraph" w:styleId="Caption">
    <w:name w:val="caption"/>
    <w:basedOn w:val="Normal"/>
    <w:next w:val="Normal"/>
    <w:uiPriority w:val="14"/>
    <w:qFormat/>
    <w:rsid w:val="008B0B37"/>
    <w:pPr>
      <w:spacing w:after="200" w:line="240" w:lineRule="auto"/>
    </w:pPr>
    <w:rPr>
      <w:b/>
      <w:iCs/>
      <w:szCs w:val="18"/>
    </w:rPr>
  </w:style>
  <w:style w:type="character" w:styleId="BookTitle">
    <w:name w:val="Book Title"/>
    <w:uiPriority w:val="94"/>
    <w:qFormat/>
    <w:rsid w:val="0019695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D35B-ED24-4B98-BD61-04277247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Miyakawa,Laura (HHSC)</dc:creator>
  <cp:keywords/>
  <dc:description/>
  <cp:lastModifiedBy>Miyakawa,Laura (HHSC)</cp:lastModifiedBy>
  <cp:revision>34</cp:revision>
  <dcterms:created xsi:type="dcterms:W3CDTF">2022-02-04T20:36:00Z</dcterms:created>
  <dcterms:modified xsi:type="dcterms:W3CDTF">2022-09-21T15:59:00Z</dcterms:modified>
</cp:coreProperties>
</file>